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BF" w:rsidRPr="00F73CBF" w:rsidRDefault="00F73CBF" w:rsidP="00F73CBF">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Arial"/>
          <w:b/>
          <w:sz w:val="28"/>
          <w:szCs w:val="28"/>
          <w:lang w:eastAsia="en-US"/>
        </w:rPr>
      </w:pPr>
      <w:bookmarkStart w:id="0" w:name="_GoBack"/>
      <w:bookmarkEnd w:id="0"/>
      <w:r w:rsidRPr="00F73CBF">
        <w:rPr>
          <w:rFonts w:ascii="Arial" w:eastAsia="Calibri" w:hAnsi="Arial" w:cs="Arial"/>
          <w:b/>
          <w:sz w:val="28"/>
          <w:szCs w:val="28"/>
          <w:lang w:eastAsia="en-US"/>
        </w:rPr>
        <w:t>Cadre d’intervention régional</w:t>
      </w:r>
    </w:p>
    <w:p w:rsidR="00F73CBF" w:rsidRPr="00F73CBF" w:rsidRDefault="00F73CBF" w:rsidP="00F73CBF">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Arial"/>
          <w:b/>
          <w:sz w:val="28"/>
          <w:szCs w:val="28"/>
          <w:lang w:eastAsia="en-US"/>
        </w:rPr>
      </w:pPr>
      <w:r w:rsidRPr="00F73CBF">
        <w:rPr>
          <w:rFonts w:ascii="Arial" w:eastAsia="Calibri" w:hAnsi="Arial" w:cs="Arial"/>
          <w:b/>
          <w:sz w:val="28"/>
          <w:szCs w:val="28"/>
          <w:lang w:eastAsia="en-US"/>
        </w:rPr>
        <w:t>« Investissement Robonumérique »</w:t>
      </w:r>
    </w:p>
    <w:p w:rsidR="00F73CBF" w:rsidRPr="00F73CBF" w:rsidRDefault="00F73CBF" w:rsidP="00F73CBF">
      <w:pPr>
        <w:spacing w:after="160" w:line="259" w:lineRule="auto"/>
        <w:rPr>
          <w:rFonts w:ascii="Arial" w:eastAsia="Calibri" w:hAnsi="Arial" w:cs="Arial"/>
          <w:sz w:val="20"/>
          <w:szCs w:val="20"/>
          <w:lang w:eastAsia="en-US"/>
        </w:rPr>
      </w:pP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Le Schéma Régional de Développement Economique, d’Innovation et d’Internationalisation (SRDEII) présente l’ambition forte d’emmener les Hauts de France vers l’excellence économique, le plein emploi et de se tourner résolument vers l’avenir.</w:t>
      </w: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La diffusion de la robotique dans l’industrie, couplée aux technologies numériques, appelée « Robonumérique »,  peut être un puissant levier de compétitivité et contribuer à la pérennité et à la création d’emplois ; elle peut également contribuer à l’amélioration des conditions de travail ; c’est l’un des axes du plan national INDUSTRIE DU FUTUR, décliné en Région Hauts-de-France.</w:t>
      </w:r>
    </w:p>
    <w:p w:rsidR="00F73CBF" w:rsidRPr="00F73CBF" w:rsidRDefault="00F73CBF" w:rsidP="00F73CBF">
      <w:pPr>
        <w:spacing w:after="160" w:line="259" w:lineRule="auto"/>
        <w:jc w:val="both"/>
        <w:rPr>
          <w:rFonts w:ascii="Arial" w:eastAsia="Calibri" w:hAnsi="Arial" w:cs="Arial"/>
          <w:sz w:val="20"/>
          <w:szCs w:val="20"/>
          <w:lang w:eastAsia="en-US"/>
        </w:rPr>
      </w:pPr>
    </w:p>
    <w:p w:rsidR="00F73CBF" w:rsidRPr="00F73CBF" w:rsidRDefault="00F73CBF" w:rsidP="00F73CBF">
      <w:pPr>
        <w:spacing w:after="160" w:line="259" w:lineRule="auto"/>
        <w:jc w:val="both"/>
        <w:rPr>
          <w:rFonts w:ascii="Arial" w:eastAsia="Calibri" w:hAnsi="Arial" w:cs="Arial"/>
          <w:b/>
          <w:sz w:val="20"/>
          <w:szCs w:val="20"/>
          <w:u w:val="single"/>
          <w:lang w:eastAsia="en-US"/>
        </w:rPr>
      </w:pPr>
      <w:r w:rsidRPr="00F73CBF">
        <w:rPr>
          <w:rFonts w:ascii="Arial" w:eastAsia="Calibri" w:hAnsi="Arial" w:cs="Arial"/>
          <w:b/>
          <w:sz w:val="20"/>
          <w:szCs w:val="20"/>
          <w:u w:val="single"/>
          <w:lang w:eastAsia="en-US"/>
        </w:rPr>
        <w:t>Objectifs</w:t>
      </w: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Aider les entreprises régionales à intégrer leur premier robot.</w:t>
      </w:r>
    </w:p>
    <w:p w:rsidR="00F73CBF" w:rsidRPr="00F73CBF" w:rsidRDefault="00F73CBF" w:rsidP="00F73CBF">
      <w:pPr>
        <w:spacing w:after="160" w:line="259" w:lineRule="auto"/>
        <w:jc w:val="both"/>
        <w:rPr>
          <w:rFonts w:ascii="Arial" w:eastAsia="Calibri" w:hAnsi="Arial" w:cs="Arial"/>
          <w:sz w:val="20"/>
          <w:szCs w:val="20"/>
          <w:lang w:eastAsia="en-US"/>
        </w:rPr>
      </w:pPr>
    </w:p>
    <w:p w:rsidR="00F73CBF" w:rsidRPr="00F73CBF" w:rsidRDefault="00F73CBF" w:rsidP="00F73CBF">
      <w:pPr>
        <w:spacing w:after="160" w:line="259" w:lineRule="auto"/>
        <w:jc w:val="both"/>
        <w:rPr>
          <w:rFonts w:ascii="Arial" w:eastAsia="Calibri" w:hAnsi="Arial" w:cs="Arial"/>
          <w:b/>
          <w:sz w:val="20"/>
          <w:szCs w:val="20"/>
          <w:u w:val="single"/>
          <w:lang w:eastAsia="en-US"/>
        </w:rPr>
      </w:pPr>
      <w:r w:rsidRPr="00F73CBF">
        <w:rPr>
          <w:rFonts w:ascii="Arial" w:eastAsia="Calibri" w:hAnsi="Arial" w:cs="Arial"/>
          <w:b/>
          <w:sz w:val="20"/>
          <w:szCs w:val="20"/>
          <w:u w:val="single"/>
          <w:lang w:eastAsia="en-US"/>
        </w:rPr>
        <w:t>Entreprises bénéficiaires</w:t>
      </w:r>
    </w:p>
    <w:p w:rsidR="00F73CBF" w:rsidRPr="00F73CBF" w:rsidRDefault="00F73CBF" w:rsidP="00F73CBF">
      <w:pPr>
        <w:numPr>
          <w:ilvl w:val="0"/>
          <w:numId w:val="7"/>
        </w:numPr>
        <w:spacing w:after="160" w:line="259" w:lineRule="auto"/>
        <w:contextualSpacing/>
        <w:jc w:val="both"/>
        <w:rPr>
          <w:rFonts w:ascii="Arial" w:eastAsia="Calibri" w:hAnsi="Arial" w:cs="Arial"/>
          <w:sz w:val="20"/>
          <w:szCs w:val="20"/>
          <w:lang w:eastAsia="en-US"/>
        </w:rPr>
      </w:pPr>
      <w:r w:rsidRPr="00F73CBF">
        <w:rPr>
          <w:rFonts w:ascii="Arial" w:eastAsia="Calibri" w:hAnsi="Arial" w:cs="Arial"/>
          <w:sz w:val="20"/>
          <w:szCs w:val="20"/>
          <w:lang w:eastAsia="en-US"/>
        </w:rPr>
        <w:t>PME au sens européen (cf. définition en annexe) et ETI (jusqu’à 2000 salariés).</w:t>
      </w:r>
    </w:p>
    <w:p w:rsidR="00F73CBF" w:rsidRPr="00F73CBF" w:rsidRDefault="00F73CBF" w:rsidP="00F73CBF">
      <w:pPr>
        <w:numPr>
          <w:ilvl w:val="0"/>
          <w:numId w:val="7"/>
        </w:numPr>
        <w:spacing w:after="160" w:line="259" w:lineRule="auto"/>
        <w:contextualSpacing/>
        <w:jc w:val="both"/>
        <w:rPr>
          <w:rFonts w:ascii="Arial" w:eastAsia="Calibri" w:hAnsi="Arial" w:cs="Arial"/>
          <w:sz w:val="20"/>
          <w:szCs w:val="20"/>
          <w:lang w:eastAsia="en-US"/>
        </w:rPr>
      </w:pPr>
      <w:r w:rsidRPr="00F73CBF">
        <w:rPr>
          <w:rFonts w:ascii="Arial" w:eastAsia="Calibri" w:hAnsi="Arial" w:cs="Arial"/>
          <w:sz w:val="20"/>
          <w:szCs w:val="20"/>
          <w:lang w:eastAsia="en-US"/>
        </w:rPr>
        <w:t>Appartenant aux secteurs de l’industrie manufacturière ou de la logistique</w:t>
      </w:r>
    </w:p>
    <w:p w:rsidR="00F73CBF" w:rsidRPr="00F73CBF" w:rsidRDefault="00F73CBF" w:rsidP="00F73CBF">
      <w:pPr>
        <w:numPr>
          <w:ilvl w:val="0"/>
          <w:numId w:val="7"/>
        </w:numPr>
        <w:spacing w:after="160" w:line="259" w:lineRule="auto"/>
        <w:contextualSpacing/>
        <w:jc w:val="both"/>
        <w:rPr>
          <w:rFonts w:ascii="Arial" w:eastAsia="Calibri" w:hAnsi="Arial" w:cs="Arial"/>
          <w:sz w:val="20"/>
          <w:szCs w:val="20"/>
          <w:lang w:eastAsia="en-US"/>
        </w:rPr>
      </w:pPr>
      <w:r w:rsidRPr="00F73CBF">
        <w:rPr>
          <w:rFonts w:ascii="Arial" w:eastAsia="Calibri" w:hAnsi="Arial" w:cs="Arial"/>
          <w:sz w:val="20"/>
          <w:szCs w:val="20"/>
          <w:lang w:eastAsia="en-US"/>
        </w:rPr>
        <w:t>Justifiant d’au moins une année d’activité (au moins 1 exercice fiscal)</w:t>
      </w:r>
    </w:p>
    <w:p w:rsidR="00F73CBF" w:rsidRPr="00F73CBF" w:rsidRDefault="00F73CBF" w:rsidP="00F73CBF">
      <w:pPr>
        <w:numPr>
          <w:ilvl w:val="0"/>
          <w:numId w:val="7"/>
        </w:numPr>
        <w:spacing w:after="160" w:line="259" w:lineRule="auto"/>
        <w:contextualSpacing/>
        <w:jc w:val="both"/>
        <w:rPr>
          <w:rFonts w:ascii="Arial" w:eastAsia="Calibri" w:hAnsi="Arial" w:cs="Arial"/>
          <w:sz w:val="20"/>
          <w:szCs w:val="20"/>
          <w:lang w:eastAsia="en-US"/>
        </w:rPr>
      </w:pPr>
      <w:r w:rsidRPr="00F73CBF">
        <w:rPr>
          <w:rFonts w:ascii="Arial" w:eastAsia="Calibri" w:hAnsi="Arial" w:cs="Arial"/>
          <w:sz w:val="20"/>
          <w:szCs w:val="20"/>
          <w:lang w:eastAsia="en-US"/>
        </w:rPr>
        <w:t>Inscrites au RCS (Registre du Commerce et des Sociétés) et/ou au RM (Registre des Métiers)</w:t>
      </w:r>
    </w:p>
    <w:p w:rsidR="00F73CBF" w:rsidRPr="00F73CBF" w:rsidRDefault="00F73CBF" w:rsidP="00F73CBF">
      <w:pPr>
        <w:numPr>
          <w:ilvl w:val="0"/>
          <w:numId w:val="7"/>
        </w:numPr>
        <w:rPr>
          <w:rFonts w:ascii="Arial" w:eastAsia="Calibri" w:hAnsi="Arial" w:cs="Arial"/>
          <w:sz w:val="20"/>
          <w:szCs w:val="20"/>
          <w:lang w:eastAsia="en-US"/>
        </w:rPr>
      </w:pPr>
      <w:r w:rsidRPr="00F73CBF">
        <w:rPr>
          <w:rFonts w:ascii="Arial" w:eastAsia="Calibri" w:hAnsi="Arial" w:cs="Arial"/>
          <w:sz w:val="20"/>
          <w:szCs w:val="20"/>
          <w:lang w:eastAsia="en-US"/>
        </w:rPr>
        <w:t>Ne sont pas éligibles au dispositif les entreprises qui sont considérées comme inéligibles aux régimes d’aides européens sur lesquels s’appuie le présent dispositif.</w:t>
      </w:r>
    </w:p>
    <w:p w:rsidR="00F73CBF" w:rsidRPr="00F73CBF" w:rsidRDefault="00F73CBF" w:rsidP="00F73CBF">
      <w:pPr>
        <w:spacing w:after="160" w:line="259" w:lineRule="auto"/>
        <w:ind w:left="720"/>
        <w:contextualSpacing/>
        <w:jc w:val="both"/>
        <w:rPr>
          <w:rFonts w:ascii="Arial" w:eastAsia="Calibri" w:hAnsi="Arial" w:cs="Arial"/>
          <w:sz w:val="20"/>
          <w:szCs w:val="20"/>
          <w:lang w:eastAsia="en-US"/>
        </w:rPr>
      </w:pPr>
    </w:p>
    <w:p w:rsidR="00F73CBF" w:rsidRPr="00826CA2" w:rsidRDefault="00F73CBF" w:rsidP="00F73CBF">
      <w:pPr>
        <w:spacing w:after="160" w:line="259" w:lineRule="auto"/>
        <w:jc w:val="both"/>
        <w:rPr>
          <w:rFonts w:ascii="Arial" w:eastAsia="Calibri" w:hAnsi="Arial" w:cs="Arial"/>
          <w:sz w:val="20"/>
          <w:szCs w:val="20"/>
          <w:lang w:eastAsia="en-US"/>
        </w:rPr>
      </w:pPr>
      <w:r w:rsidRPr="00826CA2">
        <w:rPr>
          <w:rFonts w:ascii="Arial" w:eastAsia="Calibri" w:hAnsi="Arial" w:cs="Arial"/>
          <w:sz w:val="20"/>
          <w:szCs w:val="20"/>
          <w:lang w:eastAsia="en-US"/>
        </w:rPr>
        <w:t>L’entreprise ne doit pas être considérée comme en difficultés au sens européen (cf annexe).</w:t>
      </w:r>
    </w:p>
    <w:p w:rsidR="00F73CBF" w:rsidRPr="00826CA2" w:rsidRDefault="00F73CBF" w:rsidP="00F73CBF">
      <w:pPr>
        <w:spacing w:after="160" w:line="259" w:lineRule="auto"/>
        <w:jc w:val="both"/>
        <w:rPr>
          <w:rFonts w:ascii="Arial" w:eastAsia="Calibri" w:hAnsi="Arial" w:cs="Arial"/>
          <w:sz w:val="20"/>
          <w:szCs w:val="20"/>
          <w:lang w:eastAsia="en-US"/>
        </w:rPr>
      </w:pPr>
    </w:p>
    <w:p w:rsidR="00F73CBF" w:rsidRPr="00826CA2" w:rsidRDefault="00F73CBF" w:rsidP="00F73CBF">
      <w:pPr>
        <w:spacing w:after="160" w:line="259" w:lineRule="auto"/>
        <w:jc w:val="both"/>
        <w:rPr>
          <w:rFonts w:ascii="Arial" w:eastAsia="Calibri" w:hAnsi="Arial" w:cs="Arial"/>
          <w:b/>
          <w:sz w:val="20"/>
          <w:szCs w:val="20"/>
          <w:u w:val="single"/>
          <w:lang w:eastAsia="en-US"/>
        </w:rPr>
      </w:pPr>
      <w:r w:rsidRPr="00826CA2">
        <w:rPr>
          <w:rFonts w:ascii="Arial" w:eastAsia="Calibri" w:hAnsi="Arial" w:cs="Arial"/>
          <w:b/>
          <w:sz w:val="20"/>
          <w:szCs w:val="20"/>
          <w:u w:val="single"/>
          <w:lang w:eastAsia="en-US"/>
        </w:rPr>
        <w:t>Secteurs exclus</w:t>
      </w:r>
    </w:p>
    <w:p w:rsidR="009405A9" w:rsidRPr="00826CA2" w:rsidRDefault="009405A9" w:rsidP="009405A9">
      <w:pPr>
        <w:pStyle w:val="Paragraphedeliste"/>
        <w:numPr>
          <w:ilvl w:val="0"/>
          <w:numId w:val="12"/>
        </w:numPr>
        <w:jc w:val="both"/>
        <w:rPr>
          <w:rFonts w:ascii="Arial" w:hAnsi="Arial" w:cs="Arial"/>
          <w:sz w:val="20"/>
        </w:rPr>
      </w:pPr>
      <w:r w:rsidRPr="00826CA2">
        <w:rPr>
          <w:rFonts w:ascii="Arial" w:hAnsi="Arial" w:cs="Arial"/>
          <w:sz w:val="20"/>
        </w:rPr>
        <w:t>Commerce et négoce</w:t>
      </w:r>
    </w:p>
    <w:p w:rsidR="009405A9" w:rsidRPr="00826CA2" w:rsidRDefault="009405A9" w:rsidP="009405A9">
      <w:pPr>
        <w:pStyle w:val="Paragraphedeliste"/>
        <w:numPr>
          <w:ilvl w:val="0"/>
          <w:numId w:val="12"/>
        </w:numPr>
        <w:jc w:val="both"/>
        <w:rPr>
          <w:rFonts w:ascii="Arial" w:hAnsi="Arial" w:cs="Arial"/>
          <w:sz w:val="20"/>
        </w:rPr>
      </w:pPr>
      <w:r w:rsidRPr="00826CA2">
        <w:rPr>
          <w:rFonts w:ascii="Arial" w:hAnsi="Arial" w:cs="Arial"/>
          <w:sz w:val="20"/>
        </w:rPr>
        <w:t>Professions réglementées ou assimilées</w:t>
      </w:r>
    </w:p>
    <w:p w:rsidR="009405A9" w:rsidRPr="00826CA2" w:rsidRDefault="009405A9" w:rsidP="009405A9">
      <w:pPr>
        <w:pStyle w:val="Paragraphedeliste"/>
        <w:numPr>
          <w:ilvl w:val="0"/>
          <w:numId w:val="12"/>
        </w:numPr>
        <w:jc w:val="both"/>
        <w:rPr>
          <w:rFonts w:ascii="Arial" w:hAnsi="Arial" w:cs="Arial"/>
          <w:sz w:val="20"/>
        </w:rPr>
      </w:pPr>
      <w:r w:rsidRPr="00826CA2">
        <w:rPr>
          <w:rFonts w:ascii="Arial" w:hAnsi="Arial" w:cs="Arial"/>
          <w:sz w:val="20"/>
        </w:rPr>
        <w:t>Activités financières et immobilières</w:t>
      </w:r>
    </w:p>
    <w:p w:rsidR="009405A9" w:rsidRPr="00826CA2" w:rsidRDefault="009405A9" w:rsidP="009405A9">
      <w:pPr>
        <w:pStyle w:val="Paragraphedeliste"/>
        <w:numPr>
          <w:ilvl w:val="0"/>
          <w:numId w:val="12"/>
        </w:numPr>
        <w:jc w:val="both"/>
        <w:rPr>
          <w:rFonts w:ascii="Arial" w:hAnsi="Arial" w:cs="Arial"/>
          <w:sz w:val="20"/>
        </w:rPr>
      </w:pPr>
      <w:r w:rsidRPr="00826CA2">
        <w:rPr>
          <w:rFonts w:ascii="Arial" w:hAnsi="Arial" w:cs="Arial"/>
          <w:sz w:val="20"/>
        </w:rPr>
        <w:t>Organismes de formation</w:t>
      </w:r>
    </w:p>
    <w:p w:rsidR="009405A9" w:rsidRPr="00826CA2" w:rsidRDefault="009405A9" w:rsidP="009405A9">
      <w:pPr>
        <w:pStyle w:val="Paragraphedeliste"/>
        <w:numPr>
          <w:ilvl w:val="0"/>
          <w:numId w:val="12"/>
        </w:numPr>
        <w:jc w:val="both"/>
        <w:rPr>
          <w:rFonts w:ascii="Arial" w:hAnsi="Arial" w:cs="Arial"/>
          <w:sz w:val="20"/>
        </w:rPr>
      </w:pPr>
      <w:r w:rsidRPr="00826CA2">
        <w:rPr>
          <w:rFonts w:ascii="Arial" w:hAnsi="Arial" w:cs="Arial"/>
          <w:sz w:val="20"/>
        </w:rPr>
        <w:t xml:space="preserve">Secteur primaire agricole </w:t>
      </w:r>
    </w:p>
    <w:p w:rsidR="009405A9" w:rsidRPr="00826CA2" w:rsidRDefault="009405A9" w:rsidP="009405A9">
      <w:pPr>
        <w:pStyle w:val="Paragraphedeliste"/>
        <w:numPr>
          <w:ilvl w:val="0"/>
          <w:numId w:val="12"/>
        </w:numPr>
        <w:jc w:val="both"/>
        <w:rPr>
          <w:rFonts w:ascii="Arial" w:hAnsi="Arial" w:cs="Arial"/>
          <w:sz w:val="20"/>
        </w:rPr>
      </w:pPr>
      <w:r w:rsidRPr="00826CA2">
        <w:rPr>
          <w:rFonts w:ascii="Arial" w:hAnsi="Arial" w:cs="Arial"/>
          <w:sz w:val="20"/>
        </w:rPr>
        <w:t>Secteur primaire de la pêche et de l’aquaculture</w:t>
      </w:r>
    </w:p>
    <w:p w:rsidR="009405A9" w:rsidRPr="00826CA2" w:rsidRDefault="009405A9" w:rsidP="009405A9">
      <w:pPr>
        <w:pStyle w:val="Paragraphedeliste"/>
        <w:numPr>
          <w:ilvl w:val="0"/>
          <w:numId w:val="12"/>
        </w:numPr>
        <w:jc w:val="both"/>
        <w:rPr>
          <w:rFonts w:ascii="Arial" w:hAnsi="Arial" w:cs="Arial"/>
          <w:sz w:val="20"/>
        </w:rPr>
      </w:pPr>
      <w:r w:rsidRPr="00826CA2">
        <w:rPr>
          <w:rFonts w:ascii="Arial" w:hAnsi="Arial" w:cs="Arial"/>
          <w:sz w:val="20"/>
        </w:rPr>
        <w:t>Secteur primaire forestier</w:t>
      </w:r>
    </w:p>
    <w:p w:rsidR="009405A9" w:rsidRPr="00826CA2" w:rsidRDefault="009405A9" w:rsidP="009405A9">
      <w:pPr>
        <w:pStyle w:val="Paragraphedeliste"/>
        <w:numPr>
          <w:ilvl w:val="0"/>
          <w:numId w:val="12"/>
        </w:numPr>
        <w:jc w:val="both"/>
        <w:rPr>
          <w:rFonts w:ascii="Arial" w:hAnsi="Arial" w:cs="Arial"/>
          <w:sz w:val="20"/>
        </w:rPr>
      </w:pPr>
      <w:r w:rsidRPr="00826CA2">
        <w:rPr>
          <w:rFonts w:ascii="Arial" w:hAnsi="Arial" w:cs="Arial"/>
          <w:sz w:val="20"/>
        </w:rPr>
        <w:t>Transport routier de marchandises</w:t>
      </w:r>
    </w:p>
    <w:p w:rsidR="00F73CBF" w:rsidRPr="00F73CBF" w:rsidRDefault="00F73CBF" w:rsidP="00F73CBF">
      <w:pPr>
        <w:spacing w:after="160" w:line="259" w:lineRule="auto"/>
        <w:jc w:val="both"/>
        <w:rPr>
          <w:rFonts w:ascii="Arial" w:eastAsia="Calibri" w:hAnsi="Arial" w:cs="Arial"/>
          <w:b/>
          <w:sz w:val="20"/>
          <w:szCs w:val="20"/>
          <w:u w:val="single"/>
          <w:lang w:eastAsia="en-US"/>
        </w:rPr>
      </w:pPr>
    </w:p>
    <w:p w:rsidR="00F73CBF" w:rsidRPr="00F73CBF" w:rsidRDefault="00F73CBF" w:rsidP="00F73CBF">
      <w:pPr>
        <w:spacing w:after="160" w:line="259" w:lineRule="auto"/>
        <w:jc w:val="both"/>
        <w:rPr>
          <w:rFonts w:ascii="Arial" w:eastAsia="Calibri" w:hAnsi="Arial" w:cs="Arial"/>
          <w:b/>
          <w:sz w:val="20"/>
          <w:szCs w:val="20"/>
          <w:u w:val="single"/>
          <w:lang w:eastAsia="en-US"/>
        </w:rPr>
      </w:pPr>
      <w:r w:rsidRPr="00F73CBF">
        <w:rPr>
          <w:rFonts w:ascii="Arial" w:eastAsia="Calibri" w:hAnsi="Arial" w:cs="Arial"/>
          <w:b/>
          <w:sz w:val="20"/>
          <w:szCs w:val="20"/>
          <w:u w:val="single"/>
          <w:lang w:eastAsia="en-US"/>
        </w:rPr>
        <w:t>Conditions d’éligibilité</w:t>
      </w: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L’entreprise doit être à jour de ses obligations fiscales et sociales.</w:t>
      </w: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La Région intervient dans les projets pour lesquels l’incitativité de l’aide et l’effet de levier financier sont avérés.</w:t>
      </w: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L’entreprise doit avoir mené une étude poussée de faisabilité et d’industrialisation de la solution robotique, démontrant la pertinence technique et financière de la solution retenue ; cette étude doit être jointe à la demande d’aide régionale.</w:t>
      </w:r>
    </w:p>
    <w:p w:rsidR="00F73CBF" w:rsidRPr="00F73CBF" w:rsidRDefault="00F73CBF" w:rsidP="00F73CBF">
      <w:pPr>
        <w:spacing w:after="160" w:line="259" w:lineRule="auto"/>
        <w:jc w:val="both"/>
        <w:rPr>
          <w:rFonts w:ascii="Arial" w:eastAsia="Calibri" w:hAnsi="Arial" w:cs="Arial"/>
          <w:sz w:val="20"/>
          <w:szCs w:val="20"/>
          <w:lang w:eastAsia="en-US"/>
        </w:rPr>
      </w:pPr>
    </w:p>
    <w:p w:rsidR="00F73CBF" w:rsidRPr="00F73CBF" w:rsidRDefault="00F73CBF" w:rsidP="00F73CBF">
      <w:pPr>
        <w:spacing w:after="160" w:line="259" w:lineRule="auto"/>
        <w:jc w:val="both"/>
        <w:rPr>
          <w:rFonts w:ascii="Arial" w:eastAsia="Calibri" w:hAnsi="Arial" w:cs="Arial"/>
          <w:sz w:val="20"/>
          <w:szCs w:val="20"/>
          <w:lang w:eastAsia="en-US"/>
        </w:rPr>
      </w:pPr>
    </w:p>
    <w:p w:rsidR="00F73CBF" w:rsidRPr="00F73CBF" w:rsidRDefault="00F73CBF" w:rsidP="00F73CBF">
      <w:pPr>
        <w:spacing w:after="160" w:line="259" w:lineRule="auto"/>
        <w:jc w:val="both"/>
        <w:rPr>
          <w:rFonts w:ascii="Arial" w:eastAsia="Calibri" w:hAnsi="Arial" w:cs="Arial"/>
          <w:sz w:val="20"/>
          <w:szCs w:val="20"/>
          <w:lang w:eastAsia="en-US"/>
        </w:rPr>
      </w:pPr>
    </w:p>
    <w:p w:rsidR="00F73CBF" w:rsidRPr="00F73CBF" w:rsidRDefault="00F73CBF" w:rsidP="00F73CBF">
      <w:pPr>
        <w:spacing w:after="160" w:line="259" w:lineRule="auto"/>
        <w:jc w:val="both"/>
        <w:rPr>
          <w:rFonts w:ascii="Arial" w:eastAsia="Calibri" w:hAnsi="Arial" w:cs="Arial"/>
          <w:sz w:val="20"/>
          <w:szCs w:val="20"/>
          <w:lang w:eastAsia="en-US"/>
        </w:rPr>
      </w:pPr>
    </w:p>
    <w:p w:rsidR="00F73CBF" w:rsidRPr="00F73CBF" w:rsidRDefault="00F73CBF" w:rsidP="00F73CBF">
      <w:pPr>
        <w:spacing w:after="160" w:line="259" w:lineRule="auto"/>
        <w:jc w:val="both"/>
        <w:rPr>
          <w:rFonts w:ascii="Arial" w:eastAsia="Calibri" w:hAnsi="Arial" w:cs="Arial"/>
          <w:sz w:val="20"/>
          <w:szCs w:val="20"/>
          <w:lang w:eastAsia="en-US"/>
        </w:rPr>
      </w:pPr>
    </w:p>
    <w:p w:rsidR="00F73CBF" w:rsidRPr="00F73CBF" w:rsidRDefault="00F73CBF" w:rsidP="00F73CBF">
      <w:pPr>
        <w:spacing w:after="160" w:line="259" w:lineRule="auto"/>
        <w:jc w:val="both"/>
        <w:rPr>
          <w:rFonts w:ascii="Arial" w:eastAsia="Calibri" w:hAnsi="Arial" w:cs="Arial"/>
          <w:sz w:val="20"/>
          <w:szCs w:val="20"/>
          <w:lang w:eastAsia="en-US"/>
        </w:rPr>
      </w:pPr>
    </w:p>
    <w:p w:rsidR="00F73CBF" w:rsidRPr="00F73CBF" w:rsidRDefault="00F73CBF" w:rsidP="00F73CBF">
      <w:pPr>
        <w:spacing w:after="160" w:line="259" w:lineRule="auto"/>
        <w:jc w:val="both"/>
        <w:rPr>
          <w:rFonts w:ascii="Arial" w:eastAsia="Calibri" w:hAnsi="Arial" w:cs="Arial"/>
          <w:b/>
          <w:sz w:val="20"/>
          <w:szCs w:val="20"/>
          <w:u w:val="single"/>
          <w:lang w:eastAsia="en-US"/>
        </w:rPr>
      </w:pPr>
      <w:r w:rsidRPr="00F73CBF">
        <w:rPr>
          <w:rFonts w:ascii="Arial" w:eastAsia="Calibri" w:hAnsi="Arial" w:cs="Arial"/>
          <w:b/>
          <w:sz w:val="20"/>
          <w:szCs w:val="20"/>
          <w:u w:val="single"/>
          <w:lang w:eastAsia="en-US"/>
        </w:rPr>
        <w:t>Projets de développement éligibles</w:t>
      </w: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Acquisition de la première cellule robotisée de l’entreprise, collaborative ou non, y compris son environnement (bras, outils, armoire de commande, logiciel de pilotage, équipements de sécurité…).</w:t>
      </w: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Les projets des entreprises ayant déjà intégré un premier robot et prévoyant d’investir dans la robotisation d’une autre fonction nouvelle et structurante pourront être accompagnés, par dérogation, si leur impact sur le développement de l’entreprise ou la création d’emplois est particulièrement important.</w:t>
      </w: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L’entreprise ne doit pas avoir procédé à des licenciements économiques dans les 12 mois précédant la demande au sein de son établissement et dans les structures qui lui sont liées.</w:t>
      </w: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La Région se réserve le droit de demander le remboursement de tout ou partie de l’aide versée à l’entreprise en cas de suppression de postes directement liés au projet accompagné.</w:t>
      </w:r>
    </w:p>
    <w:p w:rsidR="00F73CBF" w:rsidRPr="00F73CBF" w:rsidRDefault="00F73CBF" w:rsidP="00F73CBF">
      <w:pPr>
        <w:spacing w:after="160" w:line="259" w:lineRule="auto"/>
        <w:jc w:val="both"/>
        <w:rPr>
          <w:rFonts w:ascii="Arial" w:eastAsia="Calibri" w:hAnsi="Arial" w:cs="Arial"/>
          <w:b/>
          <w:sz w:val="20"/>
          <w:szCs w:val="20"/>
          <w:u w:val="single"/>
          <w:lang w:eastAsia="en-US"/>
        </w:rPr>
      </w:pPr>
    </w:p>
    <w:p w:rsidR="00F73CBF" w:rsidRPr="00F73CBF" w:rsidRDefault="00F73CBF" w:rsidP="00F73CBF">
      <w:pPr>
        <w:spacing w:after="160" w:line="259" w:lineRule="auto"/>
        <w:jc w:val="both"/>
        <w:rPr>
          <w:rFonts w:ascii="Arial" w:eastAsia="Calibri" w:hAnsi="Arial" w:cs="Arial"/>
          <w:b/>
          <w:sz w:val="20"/>
          <w:szCs w:val="20"/>
          <w:u w:val="single"/>
          <w:lang w:eastAsia="en-US"/>
        </w:rPr>
      </w:pPr>
      <w:r w:rsidRPr="00F73CBF">
        <w:rPr>
          <w:rFonts w:ascii="Arial" w:eastAsia="Calibri" w:hAnsi="Arial" w:cs="Arial"/>
          <w:b/>
          <w:sz w:val="20"/>
          <w:szCs w:val="20"/>
          <w:u w:val="single"/>
          <w:lang w:eastAsia="en-US"/>
        </w:rPr>
        <w:t>Nature des dépenses éligibles</w:t>
      </w:r>
    </w:p>
    <w:p w:rsidR="00F73CBF" w:rsidRPr="00F73CBF" w:rsidRDefault="00F73CBF" w:rsidP="00F73CBF">
      <w:pPr>
        <w:numPr>
          <w:ilvl w:val="0"/>
          <w:numId w:val="9"/>
        </w:numPr>
        <w:spacing w:after="160" w:line="259" w:lineRule="auto"/>
        <w:contextualSpacing/>
        <w:jc w:val="both"/>
        <w:rPr>
          <w:rFonts w:ascii="Arial" w:eastAsia="Calibri" w:hAnsi="Arial" w:cs="Arial"/>
          <w:sz w:val="20"/>
          <w:szCs w:val="20"/>
          <w:lang w:eastAsia="en-US"/>
        </w:rPr>
      </w:pPr>
      <w:r w:rsidRPr="00F73CBF">
        <w:rPr>
          <w:rFonts w:ascii="Arial" w:eastAsia="Calibri" w:hAnsi="Arial" w:cs="Arial"/>
          <w:sz w:val="20"/>
          <w:szCs w:val="20"/>
          <w:lang w:eastAsia="en-US"/>
        </w:rPr>
        <w:t>Le coût des investissements productifs de la première cellule robotisée  bras robotisé, outils, armoire de commande, logiciel de pilotage, équipements de sécurité…</w:t>
      </w:r>
    </w:p>
    <w:p w:rsidR="00F73CBF" w:rsidRPr="00F73CBF" w:rsidRDefault="00F73CBF" w:rsidP="00F73CBF">
      <w:pPr>
        <w:numPr>
          <w:ilvl w:val="0"/>
          <w:numId w:val="9"/>
        </w:numPr>
        <w:spacing w:after="160" w:line="259" w:lineRule="auto"/>
        <w:contextualSpacing/>
        <w:jc w:val="both"/>
        <w:rPr>
          <w:rFonts w:ascii="Arial" w:eastAsia="Calibri" w:hAnsi="Arial" w:cs="Arial"/>
          <w:sz w:val="20"/>
          <w:szCs w:val="20"/>
          <w:lang w:eastAsia="en-US"/>
        </w:rPr>
      </w:pPr>
      <w:r w:rsidRPr="00F73CBF">
        <w:rPr>
          <w:rFonts w:ascii="Arial" w:eastAsia="Calibri" w:hAnsi="Arial" w:cs="Arial"/>
          <w:sz w:val="20"/>
          <w:szCs w:val="20"/>
          <w:lang w:eastAsia="en-US"/>
        </w:rPr>
        <w:t>Le coût des investissements incorporels liés directement à l’intégration de la première cellule robotisée (brevets, logiciels, ERP…). Ces investissements incorporels doivent être considérés comme amortissables et doivent rester à l’actif de l’entreprise pendant au moins trois ans.</w:t>
      </w:r>
    </w:p>
    <w:p w:rsidR="00F73CBF" w:rsidRPr="00F73CBF" w:rsidRDefault="00F73CBF" w:rsidP="00F73CBF">
      <w:pPr>
        <w:spacing w:after="160" w:line="259" w:lineRule="auto"/>
        <w:jc w:val="both"/>
        <w:rPr>
          <w:rFonts w:ascii="Arial" w:eastAsia="Calibri" w:hAnsi="Arial" w:cs="Arial"/>
          <w:sz w:val="20"/>
          <w:szCs w:val="20"/>
          <w:lang w:eastAsia="en-US"/>
        </w:rPr>
      </w:pP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Ces coûts sont éligibles dans la limite des coûts admissibles au titre du régime d’aide ou du règlement européen applicable.</w:t>
      </w: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 xml:space="preserve">Les montants retenus sont hors taxes, avant impôts et prélèvements. </w:t>
      </w: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Les investissements ne pourront pas faire partie de l’assiette éligible s’ils sont financés par un crédit-bail (ou dispositif similaire).</w:t>
      </w:r>
    </w:p>
    <w:p w:rsidR="00F73CBF" w:rsidRPr="00F73CBF" w:rsidRDefault="00F73CBF" w:rsidP="00F73CBF">
      <w:pPr>
        <w:spacing w:after="160" w:line="259" w:lineRule="auto"/>
        <w:jc w:val="both"/>
        <w:rPr>
          <w:rFonts w:ascii="Arial" w:eastAsia="Calibri" w:hAnsi="Arial" w:cs="Arial"/>
          <w:sz w:val="20"/>
          <w:szCs w:val="20"/>
          <w:lang w:eastAsia="en-US"/>
        </w:rPr>
      </w:pPr>
    </w:p>
    <w:p w:rsidR="00F73CBF" w:rsidRPr="00F73CBF" w:rsidRDefault="00F73CBF" w:rsidP="00F73CBF">
      <w:pPr>
        <w:spacing w:after="160" w:line="259" w:lineRule="auto"/>
        <w:jc w:val="both"/>
        <w:rPr>
          <w:rFonts w:ascii="Arial" w:eastAsia="Calibri" w:hAnsi="Arial" w:cs="Arial"/>
          <w:b/>
          <w:sz w:val="20"/>
          <w:szCs w:val="20"/>
          <w:u w:val="single"/>
          <w:lang w:eastAsia="en-US"/>
        </w:rPr>
      </w:pPr>
      <w:r w:rsidRPr="00F73CBF">
        <w:rPr>
          <w:rFonts w:ascii="Arial" w:eastAsia="Calibri" w:hAnsi="Arial" w:cs="Arial"/>
          <w:b/>
          <w:sz w:val="20"/>
          <w:szCs w:val="20"/>
          <w:u w:val="single"/>
          <w:lang w:eastAsia="en-US"/>
        </w:rPr>
        <w:t>Caractéristiques de l’aide régionale</w:t>
      </w:r>
    </w:p>
    <w:p w:rsidR="00F73CBF" w:rsidRPr="00F73CBF" w:rsidRDefault="00F73CBF" w:rsidP="00F73CBF">
      <w:pPr>
        <w:spacing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 xml:space="preserve">Sans préjudice des conditions fixées par les régimes d’aide ou le règlement européen applicable, l’aide revêt les caractéristiques suivantes : </w:t>
      </w:r>
    </w:p>
    <w:p w:rsidR="00F73CBF" w:rsidRPr="00F73CBF" w:rsidRDefault="00F73CBF" w:rsidP="00F73CBF">
      <w:pPr>
        <w:spacing w:line="259" w:lineRule="auto"/>
        <w:jc w:val="both"/>
        <w:rPr>
          <w:rFonts w:ascii="Arial" w:eastAsia="Calibri" w:hAnsi="Arial" w:cs="Arial"/>
          <w:sz w:val="20"/>
          <w:szCs w:val="20"/>
          <w:lang w:eastAsia="en-US"/>
        </w:rPr>
      </w:pPr>
    </w:p>
    <w:p w:rsidR="00F73CBF" w:rsidRPr="00F73CBF" w:rsidRDefault="00F73CBF" w:rsidP="00F73CBF">
      <w:pPr>
        <w:spacing w:line="259" w:lineRule="auto"/>
        <w:jc w:val="both"/>
        <w:rPr>
          <w:rFonts w:ascii="Arial" w:eastAsia="Calibri" w:hAnsi="Arial" w:cs="Arial"/>
          <w:sz w:val="20"/>
          <w:szCs w:val="20"/>
          <w:u w:val="single"/>
          <w:lang w:eastAsia="en-US"/>
        </w:rPr>
      </w:pPr>
      <w:r w:rsidRPr="00F73CBF">
        <w:rPr>
          <w:rFonts w:ascii="Arial" w:eastAsia="Calibri" w:hAnsi="Arial" w:cs="Arial"/>
          <w:sz w:val="20"/>
          <w:szCs w:val="20"/>
          <w:u w:val="single"/>
          <w:lang w:eastAsia="en-US"/>
        </w:rPr>
        <w:t>Forme</w:t>
      </w: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 xml:space="preserve">L’aide régionale prend la forme d’une </w:t>
      </w:r>
      <w:r w:rsidRPr="00F73CBF">
        <w:rPr>
          <w:rFonts w:ascii="Arial" w:eastAsia="Calibri" w:hAnsi="Arial" w:cs="Arial"/>
          <w:b/>
          <w:sz w:val="20"/>
          <w:szCs w:val="20"/>
          <w:lang w:eastAsia="en-US"/>
        </w:rPr>
        <w:t>avance remboursable</w:t>
      </w:r>
      <w:r w:rsidRPr="00F73CBF">
        <w:rPr>
          <w:rFonts w:ascii="Arial" w:eastAsia="Calibri" w:hAnsi="Arial" w:cs="Arial"/>
          <w:sz w:val="20"/>
          <w:szCs w:val="20"/>
          <w:lang w:eastAsia="en-US"/>
        </w:rPr>
        <w:t xml:space="preserve"> (AR) adossée aux investissements liés au projet de développement de l’entreprise.</w:t>
      </w: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 xml:space="preserve">Une bonification sous forme de </w:t>
      </w:r>
      <w:r w:rsidRPr="00F73CBF">
        <w:rPr>
          <w:rFonts w:ascii="Arial" w:eastAsia="Calibri" w:hAnsi="Arial" w:cs="Arial"/>
          <w:b/>
          <w:sz w:val="20"/>
          <w:szCs w:val="20"/>
          <w:lang w:eastAsia="en-US"/>
        </w:rPr>
        <w:t>subvention</w:t>
      </w:r>
      <w:r w:rsidRPr="00F73CBF">
        <w:rPr>
          <w:rFonts w:ascii="Arial" w:eastAsia="Calibri" w:hAnsi="Arial" w:cs="Arial"/>
          <w:sz w:val="20"/>
          <w:szCs w:val="20"/>
          <w:lang w:eastAsia="en-US"/>
        </w:rPr>
        <w:t xml:space="preserve"> pourra venir en complément de cette avance remboursable si le projet s’accompagne de créations d’emplois.</w:t>
      </w:r>
    </w:p>
    <w:p w:rsidR="00F73CBF" w:rsidRPr="00F73CBF" w:rsidRDefault="00F73CBF" w:rsidP="00F73CBF">
      <w:pPr>
        <w:spacing w:after="160" w:line="259" w:lineRule="auto"/>
        <w:jc w:val="both"/>
        <w:rPr>
          <w:rFonts w:ascii="Arial" w:eastAsia="Calibri" w:hAnsi="Arial" w:cs="Arial"/>
          <w:sz w:val="20"/>
          <w:szCs w:val="20"/>
          <w:u w:val="single"/>
          <w:lang w:eastAsia="en-US"/>
        </w:rPr>
      </w:pPr>
      <w:r w:rsidRPr="00F73CBF">
        <w:rPr>
          <w:rFonts w:ascii="Arial" w:eastAsia="Calibri" w:hAnsi="Arial" w:cs="Arial"/>
          <w:sz w:val="20"/>
          <w:szCs w:val="20"/>
          <w:u w:val="single"/>
          <w:lang w:eastAsia="en-US"/>
        </w:rPr>
        <w:t>Modalités</w:t>
      </w: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 xml:space="preserve">Le montant total de l’aide régionale ne pourra pas dépasser le niveau des fonds propres de l’entreprise. </w:t>
      </w: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 xml:space="preserve">Les investissements et les emplois retenus pour le projet devront être maintenus à l’issu du programme pendant 3 années sur le territoire régional, 5 années pour les ETI. </w:t>
      </w:r>
    </w:p>
    <w:p w:rsidR="00F73CBF" w:rsidRPr="00F73CBF" w:rsidRDefault="00F73CBF" w:rsidP="00F73CBF">
      <w:pPr>
        <w:numPr>
          <w:ilvl w:val="0"/>
          <w:numId w:val="10"/>
        </w:numPr>
        <w:spacing w:after="160" w:line="259" w:lineRule="auto"/>
        <w:contextualSpacing/>
        <w:jc w:val="both"/>
        <w:rPr>
          <w:rFonts w:ascii="Arial" w:eastAsia="Calibri" w:hAnsi="Arial" w:cs="Arial"/>
          <w:sz w:val="20"/>
          <w:szCs w:val="20"/>
          <w:u w:val="single"/>
          <w:lang w:eastAsia="en-US"/>
        </w:rPr>
      </w:pPr>
      <w:r w:rsidRPr="00F73CBF">
        <w:rPr>
          <w:rFonts w:ascii="Arial" w:eastAsia="Calibri" w:hAnsi="Arial" w:cs="Arial"/>
          <w:sz w:val="20"/>
          <w:szCs w:val="20"/>
          <w:u w:val="single"/>
          <w:lang w:eastAsia="en-US"/>
        </w:rPr>
        <w:t>Avance remboursable (AR)</w:t>
      </w:r>
    </w:p>
    <w:p w:rsidR="00F73CBF" w:rsidRPr="00F73CBF" w:rsidRDefault="00F73CBF" w:rsidP="00F73CBF">
      <w:pPr>
        <w:spacing w:after="160" w:line="259" w:lineRule="auto"/>
        <w:jc w:val="both"/>
        <w:rPr>
          <w:rFonts w:ascii="Arial" w:eastAsia="Calibri" w:hAnsi="Arial" w:cs="Arial"/>
          <w:sz w:val="20"/>
          <w:szCs w:val="20"/>
          <w:lang w:eastAsia="en-US"/>
        </w:rPr>
      </w:pP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Elle finance 1/3 du montant des investissements éligibles, dans la limite du plafond ci-dessous.</w:t>
      </w: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Montant plancher de l’AR : 25 000 €</w:t>
      </w: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 xml:space="preserve">Montant plafond de l’AR : 100 000 € </w:t>
      </w:r>
    </w:p>
    <w:p w:rsidR="00F73CBF" w:rsidRPr="00F73CBF" w:rsidRDefault="00F73CBF" w:rsidP="00F73CBF">
      <w:pPr>
        <w:spacing w:after="160" w:line="259" w:lineRule="auto"/>
        <w:rPr>
          <w:rFonts w:ascii="Arial" w:eastAsia="Calibri" w:hAnsi="Arial" w:cs="Arial"/>
          <w:sz w:val="20"/>
          <w:szCs w:val="20"/>
          <w:lang w:eastAsia="en-US"/>
        </w:rPr>
      </w:pPr>
      <w:r w:rsidRPr="00F73CBF">
        <w:rPr>
          <w:rFonts w:ascii="Arial" w:eastAsia="Calibri" w:hAnsi="Arial" w:cs="Arial"/>
          <w:sz w:val="20"/>
          <w:szCs w:val="20"/>
          <w:lang w:eastAsia="en-US"/>
        </w:rPr>
        <w:t>Taux 0%</w:t>
      </w:r>
    </w:p>
    <w:p w:rsidR="00F73CBF" w:rsidRPr="00F73CBF" w:rsidRDefault="00F73CBF" w:rsidP="00F73CBF">
      <w:pPr>
        <w:spacing w:after="160" w:line="259" w:lineRule="auto"/>
        <w:rPr>
          <w:rFonts w:ascii="Arial" w:eastAsia="Calibri" w:hAnsi="Arial" w:cs="Arial"/>
          <w:sz w:val="20"/>
          <w:szCs w:val="20"/>
          <w:lang w:eastAsia="en-US"/>
        </w:rPr>
      </w:pPr>
      <w:r w:rsidRPr="00F73CBF">
        <w:rPr>
          <w:rFonts w:ascii="Arial" w:eastAsia="Calibri" w:hAnsi="Arial" w:cs="Arial"/>
          <w:sz w:val="20"/>
          <w:szCs w:val="20"/>
          <w:lang w:eastAsia="en-US"/>
        </w:rPr>
        <w:t>Durée du prêt : 7 ans dont 2 ans de différé de remboursement</w:t>
      </w:r>
    </w:p>
    <w:p w:rsidR="00F73CBF" w:rsidRPr="00F73CBF" w:rsidRDefault="00F73CBF" w:rsidP="00F73CBF">
      <w:pPr>
        <w:spacing w:after="160" w:line="259" w:lineRule="auto"/>
        <w:rPr>
          <w:rFonts w:ascii="Arial" w:eastAsia="Calibri" w:hAnsi="Arial" w:cs="Arial"/>
          <w:sz w:val="20"/>
          <w:szCs w:val="20"/>
          <w:lang w:eastAsia="en-US"/>
        </w:rPr>
      </w:pPr>
      <w:r w:rsidRPr="00F73CBF">
        <w:rPr>
          <w:rFonts w:ascii="Arial" w:eastAsia="Calibri" w:hAnsi="Arial" w:cs="Arial"/>
          <w:sz w:val="20"/>
          <w:szCs w:val="20"/>
          <w:lang w:eastAsia="en-US"/>
        </w:rPr>
        <w:lastRenderedPageBreak/>
        <w:t>Déblocage en une seule tranche.</w:t>
      </w:r>
    </w:p>
    <w:p w:rsidR="00F73CBF" w:rsidRPr="00F73CBF" w:rsidRDefault="00F73CBF" w:rsidP="00F73CBF">
      <w:pPr>
        <w:spacing w:after="160" w:line="259" w:lineRule="auto"/>
        <w:rPr>
          <w:rFonts w:ascii="Arial" w:eastAsia="Calibri" w:hAnsi="Arial" w:cs="Arial"/>
          <w:sz w:val="20"/>
          <w:szCs w:val="20"/>
          <w:lang w:eastAsia="en-US"/>
        </w:rPr>
      </w:pPr>
    </w:p>
    <w:p w:rsidR="00F73CBF" w:rsidRPr="00F73CBF" w:rsidRDefault="00F73CBF" w:rsidP="00F73CBF">
      <w:pPr>
        <w:numPr>
          <w:ilvl w:val="0"/>
          <w:numId w:val="10"/>
        </w:numPr>
        <w:spacing w:after="160" w:line="259" w:lineRule="auto"/>
        <w:contextualSpacing/>
        <w:rPr>
          <w:rFonts w:ascii="Arial" w:eastAsia="Calibri" w:hAnsi="Arial" w:cs="Arial"/>
          <w:sz w:val="20"/>
          <w:szCs w:val="20"/>
          <w:u w:val="single"/>
          <w:lang w:eastAsia="en-US"/>
        </w:rPr>
      </w:pPr>
      <w:r w:rsidRPr="00F73CBF">
        <w:rPr>
          <w:rFonts w:ascii="Arial" w:eastAsia="Calibri" w:hAnsi="Arial" w:cs="Arial"/>
          <w:sz w:val="20"/>
          <w:szCs w:val="20"/>
          <w:u w:val="single"/>
          <w:lang w:eastAsia="en-US"/>
        </w:rPr>
        <w:t>Bonification sous forme de subvention</w:t>
      </w:r>
    </w:p>
    <w:p w:rsidR="00F73CBF" w:rsidRPr="00F73CBF" w:rsidRDefault="00F73CBF" w:rsidP="00F73CBF">
      <w:pPr>
        <w:spacing w:after="160" w:line="259" w:lineRule="auto"/>
        <w:jc w:val="both"/>
        <w:rPr>
          <w:rFonts w:ascii="Arial" w:eastAsia="Calibri" w:hAnsi="Arial" w:cs="Arial"/>
          <w:sz w:val="20"/>
          <w:szCs w:val="20"/>
          <w:lang w:eastAsia="en-US"/>
        </w:rPr>
      </w:pP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Une bonification sous forme de subvention pourra être accordée uniquement en complément d’une avance remboursable sur les investissements si le projet induit une création d’emplois en CDI.</w:t>
      </w:r>
    </w:p>
    <w:p w:rsidR="00F73CBF" w:rsidRPr="00F73CBF" w:rsidRDefault="00F73CBF" w:rsidP="00F73CBF">
      <w:pPr>
        <w:spacing w:after="160"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Le montant de la bonification s’élève à 2 000 € par emploi créé.</w:t>
      </w:r>
    </w:p>
    <w:p w:rsidR="00F73CBF" w:rsidRPr="00826CA2" w:rsidRDefault="00F73CBF" w:rsidP="00F73CBF">
      <w:pPr>
        <w:spacing w:after="160" w:line="259" w:lineRule="auto"/>
        <w:jc w:val="both"/>
        <w:rPr>
          <w:rFonts w:ascii="Arial" w:eastAsia="Calibri" w:hAnsi="Arial" w:cs="Arial"/>
          <w:sz w:val="20"/>
          <w:szCs w:val="20"/>
          <w:lang w:eastAsia="en-US"/>
        </w:rPr>
      </w:pPr>
      <w:r w:rsidRPr="00826CA2">
        <w:rPr>
          <w:rFonts w:ascii="Arial" w:eastAsia="Calibri" w:hAnsi="Arial" w:cs="Arial"/>
          <w:sz w:val="20"/>
          <w:szCs w:val="20"/>
          <w:lang w:eastAsia="en-US"/>
        </w:rPr>
        <w:t>Les emplois retenus sont les CDI ETP hors période d’essai, créés en lien direct avec le projet</w:t>
      </w:r>
    </w:p>
    <w:p w:rsidR="00F73CBF" w:rsidRPr="00F73CBF" w:rsidRDefault="009405A9" w:rsidP="00F73CBF">
      <w:pPr>
        <w:spacing w:after="160" w:line="259" w:lineRule="auto"/>
        <w:jc w:val="both"/>
        <w:rPr>
          <w:rFonts w:ascii="Arial" w:eastAsia="Calibri" w:hAnsi="Arial" w:cs="Arial"/>
          <w:sz w:val="20"/>
          <w:szCs w:val="20"/>
          <w:lang w:eastAsia="en-US"/>
        </w:rPr>
      </w:pPr>
      <w:r w:rsidRPr="00826CA2">
        <w:rPr>
          <w:rFonts w:ascii="Arial" w:eastAsia="Calibri" w:hAnsi="Arial" w:cs="Arial"/>
          <w:sz w:val="20"/>
          <w:szCs w:val="20"/>
          <w:lang w:eastAsia="en-US"/>
        </w:rPr>
        <w:t xml:space="preserve">Par ailleurs, une intervention en subvention pourra être étudiée </w:t>
      </w:r>
      <w:r w:rsidR="006E7A75" w:rsidRPr="00826CA2">
        <w:rPr>
          <w:rFonts w:ascii="Arial" w:eastAsia="Calibri" w:hAnsi="Arial" w:cs="Arial"/>
          <w:sz w:val="20"/>
          <w:szCs w:val="20"/>
          <w:lang w:eastAsia="en-US"/>
        </w:rPr>
        <w:t>selon les critères et modalités</w:t>
      </w:r>
      <w:r w:rsidRPr="00826CA2">
        <w:rPr>
          <w:rFonts w:ascii="Arial" w:eastAsia="Calibri" w:hAnsi="Arial" w:cs="Arial"/>
          <w:sz w:val="20"/>
          <w:szCs w:val="20"/>
          <w:lang w:eastAsia="en-US"/>
        </w:rPr>
        <w:t xml:space="preserve"> </w:t>
      </w:r>
      <w:r w:rsidR="006E7A75" w:rsidRPr="00826CA2">
        <w:rPr>
          <w:rFonts w:ascii="Arial" w:eastAsia="Calibri" w:hAnsi="Arial" w:cs="Arial"/>
          <w:sz w:val="20"/>
          <w:szCs w:val="20"/>
          <w:lang w:eastAsia="en-US"/>
        </w:rPr>
        <w:t>d</w:t>
      </w:r>
      <w:r w:rsidRPr="00826CA2">
        <w:rPr>
          <w:rFonts w:ascii="Arial" w:eastAsia="Calibri" w:hAnsi="Arial" w:cs="Arial"/>
          <w:sz w:val="20"/>
          <w:szCs w:val="20"/>
          <w:lang w:eastAsia="en-US"/>
        </w:rPr>
        <w:t>es cadres d’intervention</w:t>
      </w:r>
      <w:r w:rsidR="006E7A75" w:rsidRPr="00826CA2">
        <w:rPr>
          <w:rFonts w:ascii="Arial" w:eastAsia="Calibri" w:hAnsi="Arial" w:cs="Arial"/>
          <w:sz w:val="20"/>
          <w:szCs w:val="20"/>
          <w:lang w:eastAsia="en-US"/>
        </w:rPr>
        <w:t xml:space="preserve"> du SRDEII </w:t>
      </w:r>
      <w:r w:rsidRPr="00826CA2">
        <w:rPr>
          <w:rFonts w:ascii="Arial" w:eastAsia="Calibri" w:hAnsi="Arial" w:cs="Arial"/>
          <w:sz w:val="20"/>
          <w:szCs w:val="20"/>
          <w:lang w:eastAsia="en-US"/>
        </w:rPr>
        <w:t xml:space="preserve"> votés le 30 mars</w:t>
      </w:r>
      <w:r w:rsidR="006E7A75" w:rsidRPr="00826CA2">
        <w:rPr>
          <w:rFonts w:ascii="Arial" w:eastAsia="Calibri" w:hAnsi="Arial" w:cs="Arial"/>
          <w:sz w:val="20"/>
          <w:szCs w:val="20"/>
          <w:lang w:eastAsia="en-US"/>
        </w:rPr>
        <w:t xml:space="preserve"> 2017, en particulier ceux concernant le Développement des PME et des grandes entreprises.</w:t>
      </w:r>
    </w:p>
    <w:p w:rsidR="009405A9" w:rsidRDefault="009405A9" w:rsidP="00F73CBF">
      <w:pPr>
        <w:spacing w:after="160" w:line="259" w:lineRule="auto"/>
        <w:rPr>
          <w:rFonts w:ascii="Arial" w:eastAsia="Calibri" w:hAnsi="Arial" w:cs="Arial"/>
          <w:b/>
          <w:sz w:val="20"/>
          <w:szCs w:val="20"/>
          <w:u w:val="single"/>
          <w:lang w:eastAsia="en-US"/>
        </w:rPr>
      </w:pPr>
    </w:p>
    <w:p w:rsidR="00F73CBF" w:rsidRPr="00F73CBF" w:rsidRDefault="00F73CBF" w:rsidP="00F73CBF">
      <w:pPr>
        <w:spacing w:after="160" w:line="259" w:lineRule="auto"/>
        <w:rPr>
          <w:rFonts w:ascii="Arial" w:eastAsia="Calibri" w:hAnsi="Arial" w:cs="Arial"/>
          <w:b/>
          <w:sz w:val="20"/>
          <w:szCs w:val="20"/>
          <w:u w:val="single"/>
          <w:lang w:eastAsia="en-US"/>
        </w:rPr>
      </w:pPr>
      <w:r w:rsidRPr="00F73CBF">
        <w:rPr>
          <w:rFonts w:ascii="Arial" w:eastAsia="Calibri" w:hAnsi="Arial" w:cs="Arial"/>
          <w:b/>
          <w:sz w:val="20"/>
          <w:szCs w:val="20"/>
          <w:u w:val="single"/>
          <w:lang w:eastAsia="en-US"/>
        </w:rPr>
        <w:t>Modalités d’accompagnement</w:t>
      </w:r>
    </w:p>
    <w:p w:rsidR="00F73CBF" w:rsidRPr="00F73CBF" w:rsidRDefault="00F73CBF" w:rsidP="00F73CBF">
      <w:pPr>
        <w:spacing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Toute demande d’aide doit faire l’objet du dépôt d’un dossier unique de demande d’accompagnement dûment renseigné, adressé à Monsieur le Président du Conseil régional.</w:t>
      </w:r>
    </w:p>
    <w:p w:rsidR="00F73CBF" w:rsidRPr="00F73CBF" w:rsidRDefault="00F73CBF" w:rsidP="00F73CBF">
      <w:pPr>
        <w:spacing w:line="259" w:lineRule="auto"/>
        <w:jc w:val="both"/>
        <w:rPr>
          <w:rFonts w:ascii="Arial" w:eastAsia="Calibri" w:hAnsi="Arial" w:cs="Arial"/>
          <w:sz w:val="20"/>
          <w:szCs w:val="20"/>
          <w:lang w:eastAsia="en-US"/>
        </w:rPr>
      </w:pPr>
    </w:p>
    <w:p w:rsidR="00F73CBF" w:rsidRPr="00F73CBF" w:rsidRDefault="00F73CBF" w:rsidP="00F73CBF">
      <w:pPr>
        <w:spacing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Dans ce cadre, la Région veillera au respect du caractère incitatif de l’aide.</w:t>
      </w:r>
    </w:p>
    <w:p w:rsidR="00F73CBF" w:rsidRPr="00F73CBF" w:rsidRDefault="00F73CBF" w:rsidP="00F73CBF">
      <w:pPr>
        <w:spacing w:line="259" w:lineRule="auto"/>
        <w:jc w:val="both"/>
        <w:rPr>
          <w:rFonts w:ascii="Arial" w:eastAsia="Calibri" w:hAnsi="Arial" w:cs="Arial"/>
          <w:sz w:val="20"/>
          <w:szCs w:val="20"/>
          <w:lang w:eastAsia="en-US"/>
        </w:rPr>
      </w:pPr>
    </w:p>
    <w:p w:rsidR="00F73CBF" w:rsidRPr="00F73CBF" w:rsidRDefault="00F73CBF" w:rsidP="00F73CBF">
      <w:pPr>
        <w:spacing w:line="259" w:lineRule="auto"/>
        <w:jc w:val="both"/>
        <w:rPr>
          <w:rFonts w:ascii="Arial" w:eastAsia="Calibri" w:hAnsi="Arial" w:cs="Arial"/>
          <w:sz w:val="20"/>
          <w:szCs w:val="20"/>
          <w:lang w:eastAsia="en-US"/>
        </w:rPr>
      </w:pPr>
      <w:r w:rsidRPr="00F73CBF">
        <w:rPr>
          <w:rFonts w:ascii="Arial" w:eastAsia="Calibri" w:hAnsi="Arial" w:cs="Arial"/>
          <w:sz w:val="20"/>
          <w:szCs w:val="20"/>
          <w:lang w:eastAsia="en-US"/>
        </w:rPr>
        <w:t xml:space="preserve">Après instruction par les services de la Région, les dossiers de demande seront présentés à l’organe délibérant pour décision. </w:t>
      </w:r>
    </w:p>
    <w:p w:rsidR="00F73CBF" w:rsidRPr="00F73CBF" w:rsidRDefault="00F73CBF" w:rsidP="00F73CBF">
      <w:pPr>
        <w:spacing w:line="259" w:lineRule="auto"/>
        <w:jc w:val="both"/>
        <w:rPr>
          <w:rFonts w:ascii="Arial" w:eastAsia="Calibri" w:hAnsi="Arial" w:cs="Arial"/>
          <w:sz w:val="20"/>
          <w:szCs w:val="20"/>
          <w:lang w:eastAsia="en-US"/>
        </w:rPr>
      </w:pPr>
    </w:p>
    <w:p w:rsidR="00F73CBF" w:rsidRPr="00F73CBF" w:rsidRDefault="00F73CBF" w:rsidP="00F73CBF">
      <w:pPr>
        <w:jc w:val="both"/>
        <w:rPr>
          <w:rFonts w:ascii="Arial" w:hAnsi="Arial" w:cs="Arial"/>
          <w:b/>
          <w:sz w:val="20"/>
          <w:szCs w:val="20"/>
          <w:u w:val="single"/>
        </w:rPr>
      </w:pPr>
      <w:r w:rsidRPr="00F73CBF">
        <w:rPr>
          <w:rFonts w:ascii="Arial" w:hAnsi="Arial" w:cs="Arial"/>
          <w:b/>
          <w:sz w:val="20"/>
          <w:szCs w:val="20"/>
          <w:u w:val="single"/>
        </w:rPr>
        <w:t>Participations des communes et Etablissements Publics de Coopération Intercommunale (EPCI)</w:t>
      </w:r>
    </w:p>
    <w:p w:rsidR="00F73CBF" w:rsidRPr="00F73CBF" w:rsidRDefault="00F73CBF" w:rsidP="00F73CBF">
      <w:pPr>
        <w:jc w:val="both"/>
        <w:rPr>
          <w:rFonts w:ascii="Arial" w:hAnsi="Arial" w:cs="Arial"/>
          <w:sz w:val="20"/>
          <w:szCs w:val="20"/>
        </w:rPr>
      </w:pPr>
    </w:p>
    <w:p w:rsidR="00F73CBF" w:rsidRPr="00F73CBF" w:rsidRDefault="00F73CBF" w:rsidP="00F73CBF">
      <w:pPr>
        <w:jc w:val="both"/>
        <w:rPr>
          <w:rFonts w:ascii="Arial" w:hAnsi="Arial" w:cs="Arial"/>
          <w:sz w:val="20"/>
          <w:szCs w:val="20"/>
        </w:rPr>
      </w:pPr>
      <w:r w:rsidRPr="00F73CBF">
        <w:rPr>
          <w:rFonts w:ascii="Arial" w:hAnsi="Arial" w:cs="Arial"/>
          <w:sz w:val="20"/>
          <w:szCs w:val="20"/>
        </w:rPr>
        <w:t>Les communes et EPCI qui le souhaitent pourront participer au financement de ce dispositif d’aide.</w:t>
      </w:r>
    </w:p>
    <w:p w:rsidR="00F73CBF" w:rsidRPr="00F73CBF" w:rsidRDefault="00F73CBF" w:rsidP="00F73CBF">
      <w:pPr>
        <w:jc w:val="both"/>
        <w:rPr>
          <w:rFonts w:ascii="Arial" w:hAnsi="Arial" w:cs="Arial"/>
          <w:sz w:val="20"/>
          <w:szCs w:val="20"/>
        </w:rPr>
      </w:pPr>
      <w:r w:rsidRPr="00F73CBF">
        <w:rPr>
          <w:rFonts w:ascii="Arial" w:hAnsi="Arial" w:cs="Arial"/>
          <w:sz w:val="20"/>
          <w:szCs w:val="20"/>
        </w:rPr>
        <w:t>Les modalités de cette participation seront définies par une convention entre la Région et la commune ou l’EPCI.</w:t>
      </w:r>
    </w:p>
    <w:p w:rsidR="00F73CBF" w:rsidRPr="00F73CBF" w:rsidRDefault="00F73CBF" w:rsidP="00F73CBF">
      <w:pPr>
        <w:rPr>
          <w:rFonts w:ascii="Arial" w:hAnsi="Arial" w:cs="Arial"/>
          <w:sz w:val="20"/>
          <w:szCs w:val="20"/>
        </w:rPr>
      </w:pPr>
    </w:p>
    <w:p w:rsidR="00F73CBF" w:rsidRPr="00F73CBF" w:rsidRDefault="00F73CBF" w:rsidP="00F73CBF">
      <w:pPr>
        <w:rPr>
          <w:rFonts w:ascii="Arial" w:hAnsi="Arial" w:cs="Arial"/>
          <w:sz w:val="20"/>
          <w:szCs w:val="20"/>
        </w:rPr>
      </w:pPr>
      <w:r w:rsidRPr="00F73CBF">
        <w:rPr>
          <w:rFonts w:ascii="Arial" w:hAnsi="Arial" w:cs="Arial"/>
          <w:b/>
          <w:sz w:val="20"/>
          <w:szCs w:val="20"/>
          <w:u w:val="single"/>
        </w:rPr>
        <w:t>Durée de mise en œuvre du régime et zone géographique concernée</w:t>
      </w:r>
      <w:r w:rsidRPr="00F73CBF">
        <w:rPr>
          <w:rFonts w:ascii="Arial" w:hAnsi="Arial" w:cs="Arial"/>
          <w:sz w:val="20"/>
          <w:szCs w:val="20"/>
        </w:rPr>
        <w:t> :</w:t>
      </w:r>
    </w:p>
    <w:p w:rsidR="00F73CBF" w:rsidRPr="00F73CBF" w:rsidRDefault="00F73CBF" w:rsidP="00F73CBF">
      <w:pPr>
        <w:rPr>
          <w:rFonts w:ascii="Arial" w:hAnsi="Arial" w:cs="Arial"/>
          <w:sz w:val="20"/>
          <w:szCs w:val="20"/>
        </w:rPr>
      </w:pPr>
    </w:p>
    <w:p w:rsidR="00F73CBF" w:rsidRPr="00F73CBF" w:rsidRDefault="00F73CBF" w:rsidP="00F73CBF">
      <w:pPr>
        <w:rPr>
          <w:rFonts w:ascii="Arial" w:hAnsi="Arial" w:cs="Arial"/>
          <w:sz w:val="20"/>
          <w:szCs w:val="20"/>
        </w:rPr>
      </w:pPr>
      <w:r w:rsidRPr="00F73CBF">
        <w:rPr>
          <w:rFonts w:ascii="Arial" w:hAnsi="Arial" w:cs="Arial"/>
          <w:sz w:val="20"/>
          <w:szCs w:val="20"/>
        </w:rPr>
        <w:t>Ce régime d’aide sera mobilisable jusqu’au 31 décembre 2020.</w:t>
      </w:r>
    </w:p>
    <w:p w:rsidR="00F73CBF" w:rsidRPr="00F73CBF" w:rsidRDefault="00F73CBF" w:rsidP="00F73CBF">
      <w:pPr>
        <w:rPr>
          <w:rFonts w:ascii="Arial" w:hAnsi="Arial" w:cs="Arial"/>
          <w:sz w:val="20"/>
          <w:szCs w:val="20"/>
        </w:rPr>
      </w:pPr>
    </w:p>
    <w:p w:rsidR="00F73CBF" w:rsidRPr="00F73CBF" w:rsidRDefault="00F73CBF" w:rsidP="00F73CBF">
      <w:pPr>
        <w:rPr>
          <w:rFonts w:ascii="Arial" w:hAnsi="Arial" w:cs="Arial"/>
          <w:sz w:val="20"/>
          <w:szCs w:val="20"/>
        </w:rPr>
      </w:pPr>
      <w:r w:rsidRPr="00F73CBF">
        <w:rPr>
          <w:rFonts w:ascii="Arial" w:hAnsi="Arial" w:cs="Arial"/>
          <w:sz w:val="20"/>
          <w:szCs w:val="20"/>
        </w:rPr>
        <w:t>Le présent cadre d’intervention est applicable sur l’ensemble du territoire de la Région Hauts-de-France.</w:t>
      </w:r>
    </w:p>
    <w:p w:rsidR="00F73CBF" w:rsidRPr="00F73CBF" w:rsidRDefault="00F73CBF" w:rsidP="00F73CBF">
      <w:pPr>
        <w:rPr>
          <w:rFonts w:ascii="Arial" w:hAnsi="Arial" w:cs="Arial"/>
          <w:sz w:val="20"/>
          <w:szCs w:val="20"/>
        </w:rPr>
      </w:pPr>
      <w:r w:rsidRPr="00F73CBF">
        <w:rPr>
          <w:rFonts w:ascii="Arial" w:hAnsi="Arial" w:cs="Arial"/>
          <w:sz w:val="20"/>
          <w:szCs w:val="20"/>
        </w:rPr>
        <w:t>Il entre en application à compter de la délibération exécutoire du Conseil Régional y afférente et demeure applicable tant qu’il reste conforme au SRDEII et aux règles européennes en matière d’aide d’Etat.</w:t>
      </w:r>
    </w:p>
    <w:p w:rsidR="00F73CBF" w:rsidRPr="00F73CBF" w:rsidRDefault="00F73CBF" w:rsidP="00F73CBF">
      <w:pPr>
        <w:rPr>
          <w:rFonts w:ascii="Arial" w:hAnsi="Arial" w:cs="Arial"/>
          <w:sz w:val="20"/>
          <w:szCs w:val="20"/>
        </w:rPr>
      </w:pPr>
    </w:p>
    <w:p w:rsidR="00F73CBF" w:rsidRPr="00F73CBF" w:rsidRDefault="00F73CBF" w:rsidP="00F73CBF">
      <w:pPr>
        <w:rPr>
          <w:rFonts w:ascii="Arial" w:hAnsi="Arial" w:cs="Arial"/>
          <w:b/>
          <w:sz w:val="20"/>
          <w:szCs w:val="20"/>
          <w:u w:val="single"/>
        </w:rPr>
      </w:pPr>
      <w:r w:rsidRPr="00F73CBF">
        <w:rPr>
          <w:rFonts w:ascii="Arial" w:hAnsi="Arial" w:cs="Arial"/>
          <w:b/>
          <w:sz w:val="20"/>
          <w:szCs w:val="20"/>
          <w:u w:val="single"/>
        </w:rPr>
        <w:t>Evaluation du cadre d’intervention</w:t>
      </w:r>
    </w:p>
    <w:p w:rsidR="00F73CBF" w:rsidRPr="00F73CBF" w:rsidRDefault="00F73CBF" w:rsidP="00F73CBF">
      <w:pPr>
        <w:rPr>
          <w:rFonts w:ascii="Arial" w:hAnsi="Arial" w:cs="Arial"/>
          <w:b/>
          <w:sz w:val="20"/>
          <w:szCs w:val="20"/>
          <w:u w:val="single"/>
        </w:rPr>
      </w:pPr>
    </w:p>
    <w:p w:rsidR="00F73CBF" w:rsidRPr="00F73CBF" w:rsidRDefault="00F73CBF" w:rsidP="00F73CBF">
      <w:pPr>
        <w:rPr>
          <w:rFonts w:ascii="Arial" w:hAnsi="Arial" w:cs="Arial"/>
          <w:sz w:val="20"/>
          <w:szCs w:val="20"/>
        </w:rPr>
      </w:pPr>
      <w:r w:rsidRPr="00F73CBF">
        <w:rPr>
          <w:rFonts w:ascii="Arial" w:hAnsi="Arial" w:cs="Arial"/>
          <w:sz w:val="20"/>
          <w:szCs w:val="20"/>
        </w:rPr>
        <w:t>Les modalités d’évaluation de ce dispositif seront définies dans le cadre de l’évaluation du Schéma Régional de Développement Economique, d’Innovation et d’Internationalisation.</w:t>
      </w:r>
    </w:p>
    <w:p w:rsidR="00F73CBF" w:rsidRPr="00F73CBF" w:rsidRDefault="00F73CBF" w:rsidP="00F73CBF">
      <w:pPr>
        <w:rPr>
          <w:rFonts w:ascii="Arial" w:hAnsi="Arial" w:cs="Arial"/>
          <w:b/>
          <w:sz w:val="20"/>
          <w:szCs w:val="20"/>
          <w:u w:val="single"/>
        </w:rPr>
      </w:pPr>
    </w:p>
    <w:p w:rsidR="00F73CBF" w:rsidRPr="00F73CBF" w:rsidRDefault="00F73CBF" w:rsidP="00F73CBF">
      <w:pPr>
        <w:rPr>
          <w:rFonts w:ascii="Arial" w:hAnsi="Arial" w:cs="Arial"/>
          <w:b/>
          <w:sz w:val="20"/>
          <w:szCs w:val="20"/>
          <w:u w:val="single"/>
        </w:rPr>
      </w:pPr>
      <w:r w:rsidRPr="00F73CBF">
        <w:rPr>
          <w:rFonts w:ascii="Arial" w:hAnsi="Arial" w:cs="Arial"/>
          <w:b/>
          <w:sz w:val="20"/>
          <w:szCs w:val="20"/>
          <w:u w:val="single"/>
        </w:rPr>
        <w:t>Fondements juridiques</w:t>
      </w:r>
    </w:p>
    <w:p w:rsidR="00F73CBF" w:rsidRPr="00F73CBF" w:rsidRDefault="00F73CBF" w:rsidP="00F73CBF">
      <w:pPr>
        <w:rPr>
          <w:rFonts w:ascii="Arial" w:hAnsi="Arial" w:cs="Arial"/>
          <w:b/>
          <w:sz w:val="20"/>
          <w:szCs w:val="20"/>
          <w:u w:val="single"/>
        </w:rPr>
      </w:pPr>
    </w:p>
    <w:p w:rsidR="00F73CBF" w:rsidRPr="00F73CBF" w:rsidRDefault="00F73CBF" w:rsidP="00F73CBF">
      <w:pPr>
        <w:numPr>
          <w:ilvl w:val="0"/>
          <w:numId w:val="11"/>
        </w:numPr>
        <w:spacing w:after="160" w:line="259" w:lineRule="auto"/>
        <w:contextualSpacing/>
        <w:jc w:val="both"/>
        <w:rPr>
          <w:rFonts w:ascii="Arial" w:eastAsia="Calibri" w:hAnsi="Arial" w:cs="Arial"/>
          <w:sz w:val="20"/>
          <w:szCs w:val="20"/>
          <w:lang w:eastAsia="en-US"/>
        </w:rPr>
      </w:pPr>
      <w:r w:rsidRPr="00F73CBF">
        <w:rPr>
          <w:rFonts w:ascii="Arial" w:eastAsia="Calibri" w:hAnsi="Arial" w:cs="Arial"/>
          <w:sz w:val="20"/>
          <w:szCs w:val="20"/>
          <w:lang w:eastAsia="en-US"/>
        </w:rPr>
        <w:t>Article L1511-2 du Code Général des Collectivités Territoriales ;</w:t>
      </w:r>
    </w:p>
    <w:p w:rsidR="00F73CBF" w:rsidRPr="00F73CBF" w:rsidRDefault="00F73CBF" w:rsidP="00F73CBF">
      <w:pPr>
        <w:numPr>
          <w:ilvl w:val="0"/>
          <w:numId w:val="11"/>
        </w:numPr>
        <w:spacing w:after="160" w:line="259" w:lineRule="auto"/>
        <w:contextualSpacing/>
        <w:jc w:val="both"/>
        <w:rPr>
          <w:rFonts w:ascii="Arial" w:eastAsia="Calibri" w:hAnsi="Arial" w:cs="Arial"/>
          <w:sz w:val="20"/>
          <w:szCs w:val="20"/>
          <w:lang w:eastAsia="en-US"/>
        </w:rPr>
      </w:pPr>
      <w:r w:rsidRPr="00F73CBF">
        <w:rPr>
          <w:rFonts w:ascii="Arial" w:eastAsia="Calibri" w:hAnsi="Arial" w:cs="Arial"/>
          <w:b/>
          <w:sz w:val="20"/>
          <w:szCs w:val="20"/>
          <w:lang w:eastAsia="en-US"/>
        </w:rPr>
        <w:t>RGEC</w:t>
      </w:r>
      <w:r w:rsidRPr="00F73CBF">
        <w:rPr>
          <w:rFonts w:ascii="Arial" w:eastAsia="Calibri" w:hAnsi="Arial" w:cs="Arial"/>
          <w:sz w:val="20"/>
          <w:szCs w:val="20"/>
          <w:lang w:eastAsia="en-US"/>
        </w:rPr>
        <w:t> : Règlement (UE) n° 651/2014 de la Commission du 17 juin 2014 déclarant certaines catégories d’aides compatibles avec le marché intérieur en application des articles 107 et 108 du traité ;</w:t>
      </w:r>
    </w:p>
    <w:p w:rsidR="00F73CBF" w:rsidRPr="00F73CBF" w:rsidRDefault="00F73CBF" w:rsidP="00F73CBF">
      <w:pPr>
        <w:numPr>
          <w:ilvl w:val="0"/>
          <w:numId w:val="11"/>
        </w:numPr>
        <w:spacing w:after="160" w:line="259" w:lineRule="auto"/>
        <w:contextualSpacing/>
        <w:jc w:val="both"/>
        <w:rPr>
          <w:rFonts w:ascii="Arial" w:eastAsia="Calibri" w:hAnsi="Arial" w:cs="Arial"/>
          <w:sz w:val="20"/>
          <w:szCs w:val="20"/>
          <w:lang w:eastAsia="en-US"/>
        </w:rPr>
      </w:pPr>
      <w:r w:rsidRPr="00F73CBF">
        <w:rPr>
          <w:rFonts w:ascii="Arial" w:eastAsia="Calibri" w:hAnsi="Arial" w:cs="Arial"/>
          <w:b/>
          <w:sz w:val="20"/>
          <w:szCs w:val="20"/>
          <w:lang w:eastAsia="en-US"/>
        </w:rPr>
        <w:t>PME</w:t>
      </w:r>
      <w:r w:rsidRPr="00F73CBF">
        <w:rPr>
          <w:rFonts w:ascii="Arial" w:eastAsia="Calibri" w:hAnsi="Arial" w:cs="Arial"/>
          <w:sz w:val="20"/>
          <w:szCs w:val="20"/>
          <w:lang w:eastAsia="en-US"/>
        </w:rPr>
        <w:t> : Régime cadre exempté de notification n° SA.40453 relatif aux aides en faveur des PME pour la période 2014-2020 ;</w:t>
      </w:r>
    </w:p>
    <w:p w:rsidR="00F73CBF" w:rsidRPr="00F73CBF" w:rsidRDefault="00F73CBF" w:rsidP="00F73CBF">
      <w:pPr>
        <w:numPr>
          <w:ilvl w:val="0"/>
          <w:numId w:val="11"/>
        </w:numPr>
        <w:spacing w:after="160" w:line="259" w:lineRule="auto"/>
        <w:contextualSpacing/>
        <w:jc w:val="both"/>
        <w:rPr>
          <w:rFonts w:ascii="Arial" w:eastAsia="Calibri" w:hAnsi="Arial" w:cs="Arial"/>
          <w:sz w:val="20"/>
          <w:szCs w:val="20"/>
          <w:lang w:eastAsia="en-US"/>
        </w:rPr>
      </w:pPr>
      <w:r w:rsidRPr="00F73CBF">
        <w:rPr>
          <w:rFonts w:ascii="Arial" w:eastAsia="Calibri" w:hAnsi="Arial" w:cs="Arial"/>
          <w:b/>
          <w:sz w:val="20"/>
          <w:szCs w:val="20"/>
          <w:lang w:eastAsia="en-US"/>
        </w:rPr>
        <w:t>AFR</w:t>
      </w:r>
      <w:r w:rsidRPr="00F73CBF">
        <w:rPr>
          <w:rFonts w:ascii="Arial" w:eastAsia="Calibri" w:hAnsi="Arial" w:cs="Arial"/>
          <w:sz w:val="20"/>
          <w:szCs w:val="20"/>
          <w:lang w:eastAsia="en-US"/>
        </w:rPr>
        <w:t> : Régime cadre exempté de notification n° SA.39252 relatif aux aides à finalité régionale (AFR) pour la période 2014-2020 ;</w:t>
      </w:r>
    </w:p>
    <w:p w:rsidR="00F73CBF" w:rsidRPr="00F73CBF" w:rsidRDefault="00F73CBF" w:rsidP="00F73CBF">
      <w:pPr>
        <w:numPr>
          <w:ilvl w:val="0"/>
          <w:numId w:val="11"/>
        </w:numPr>
        <w:spacing w:after="160" w:line="259" w:lineRule="auto"/>
        <w:contextualSpacing/>
        <w:jc w:val="both"/>
        <w:rPr>
          <w:rFonts w:ascii="Arial" w:eastAsia="Calibri" w:hAnsi="Arial" w:cs="Arial"/>
          <w:sz w:val="20"/>
          <w:szCs w:val="20"/>
          <w:lang w:eastAsia="en-US"/>
        </w:rPr>
      </w:pPr>
      <w:r w:rsidRPr="00F73CBF">
        <w:rPr>
          <w:rFonts w:ascii="Arial" w:eastAsia="Calibri" w:hAnsi="Arial" w:cs="Arial"/>
          <w:b/>
          <w:sz w:val="20"/>
          <w:szCs w:val="20"/>
          <w:lang w:eastAsia="en-US"/>
        </w:rPr>
        <w:t>Environnement</w:t>
      </w:r>
      <w:r w:rsidRPr="00F73CBF">
        <w:rPr>
          <w:rFonts w:ascii="Arial" w:eastAsia="Calibri" w:hAnsi="Arial" w:cs="Arial"/>
          <w:sz w:val="20"/>
          <w:szCs w:val="20"/>
          <w:lang w:eastAsia="en-US"/>
        </w:rPr>
        <w:t> : Régime cadre exempté de notification n° SA.40405 relatif aux aides à la protection de l’environnement pour la période 2014-2020 ;</w:t>
      </w:r>
    </w:p>
    <w:p w:rsidR="00F73CBF" w:rsidRPr="00F73CBF" w:rsidRDefault="00F73CBF" w:rsidP="00F73CBF">
      <w:pPr>
        <w:numPr>
          <w:ilvl w:val="0"/>
          <w:numId w:val="11"/>
        </w:numPr>
        <w:spacing w:after="160" w:line="259" w:lineRule="auto"/>
        <w:contextualSpacing/>
        <w:jc w:val="both"/>
        <w:rPr>
          <w:rFonts w:ascii="Arial" w:eastAsia="Calibri" w:hAnsi="Arial" w:cs="Arial"/>
          <w:sz w:val="20"/>
          <w:szCs w:val="20"/>
          <w:lang w:eastAsia="en-US"/>
        </w:rPr>
      </w:pPr>
      <w:r w:rsidRPr="00F73CBF">
        <w:rPr>
          <w:rFonts w:ascii="Arial" w:eastAsia="Calibri" w:hAnsi="Arial" w:cs="Arial"/>
          <w:b/>
          <w:sz w:val="20"/>
          <w:szCs w:val="20"/>
          <w:lang w:eastAsia="en-US"/>
        </w:rPr>
        <w:t>Travailleurs défavorisés et handicapés</w:t>
      </w:r>
      <w:r w:rsidRPr="00F73CBF">
        <w:rPr>
          <w:rFonts w:ascii="Arial" w:eastAsia="Calibri" w:hAnsi="Arial" w:cs="Arial"/>
          <w:sz w:val="20"/>
          <w:szCs w:val="20"/>
          <w:lang w:eastAsia="en-US"/>
        </w:rPr>
        <w:t> : Régime cadre exempté de notification n° SA.40208 relatif aux aides en faveur de l’emploi des travailleurs défavorisés et des travailleurs handicapés pour la période 2014-2020 ;</w:t>
      </w:r>
    </w:p>
    <w:p w:rsidR="00F73CBF" w:rsidRPr="00F73CBF" w:rsidRDefault="00F73CBF" w:rsidP="00F73CBF">
      <w:pPr>
        <w:numPr>
          <w:ilvl w:val="0"/>
          <w:numId w:val="11"/>
        </w:numPr>
        <w:spacing w:after="160" w:line="259" w:lineRule="auto"/>
        <w:contextualSpacing/>
        <w:jc w:val="both"/>
        <w:rPr>
          <w:rFonts w:ascii="Arial" w:eastAsia="Calibri" w:hAnsi="Arial" w:cs="Arial"/>
          <w:sz w:val="20"/>
          <w:szCs w:val="20"/>
          <w:lang w:eastAsia="en-US"/>
        </w:rPr>
      </w:pPr>
      <w:r w:rsidRPr="00F73CBF">
        <w:rPr>
          <w:rFonts w:ascii="Arial" w:eastAsia="Calibri" w:hAnsi="Arial" w:cs="Arial"/>
          <w:b/>
          <w:sz w:val="20"/>
          <w:szCs w:val="20"/>
          <w:lang w:eastAsia="en-US"/>
        </w:rPr>
        <w:t>Formation</w:t>
      </w:r>
      <w:r w:rsidRPr="00F73CBF">
        <w:rPr>
          <w:rFonts w:ascii="Arial" w:eastAsia="Calibri" w:hAnsi="Arial" w:cs="Arial"/>
          <w:sz w:val="20"/>
          <w:szCs w:val="20"/>
          <w:lang w:eastAsia="en-US"/>
        </w:rPr>
        <w:t> : Régime cadre exempté de notification n° SA.40207 relatif aux aides à la formation pour la période 2014-2020 ;</w:t>
      </w:r>
    </w:p>
    <w:p w:rsidR="00F73CBF" w:rsidRPr="00F73CBF" w:rsidRDefault="00F73CBF" w:rsidP="00F73CBF">
      <w:pPr>
        <w:numPr>
          <w:ilvl w:val="0"/>
          <w:numId w:val="11"/>
        </w:numPr>
        <w:spacing w:after="160" w:line="259" w:lineRule="auto"/>
        <w:contextualSpacing/>
        <w:jc w:val="both"/>
        <w:rPr>
          <w:rFonts w:ascii="Arial" w:eastAsia="Calibri" w:hAnsi="Arial" w:cs="Arial"/>
          <w:sz w:val="20"/>
          <w:szCs w:val="20"/>
          <w:lang w:eastAsia="en-US"/>
        </w:rPr>
      </w:pPr>
      <w:r w:rsidRPr="00F73CBF">
        <w:rPr>
          <w:rFonts w:ascii="Arial" w:eastAsia="Calibri" w:hAnsi="Arial" w:cs="Arial"/>
          <w:b/>
          <w:sz w:val="20"/>
          <w:szCs w:val="20"/>
          <w:lang w:eastAsia="en-US"/>
        </w:rPr>
        <w:lastRenderedPageBreak/>
        <w:t>RDI</w:t>
      </w:r>
      <w:r w:rsidRPr="00F73CBF">
        <w:rPr>
          <w:rFonts w:ascii="Arial" w:eastAsia="Calibri" w:hAnsi="Arial" w:cs="Arial"/>
          <w:sz w:val="20"/>
          <w:szCs w:val="20"/>
          <w:lang w:eastAsia="en-US"/>
        </w:rPr>
        <w:t> : Régime cadre exempté de notification n° SA.40391 relatif aux aides à la recherche, au développement et à l’innovation (RDI) pour la période 2014-2020 ;</w:t>
      </w:r>
    </w:p>
    <w:p w:rsidR="00F73CBF" w:rsidRPr="00F73CBF" w:rsidRDefault="00F73CBF" w:rsidP="00F73CBF">
      <w:pPr>
        <w:numPr>
          <w:ilvl w:val="0"/>
          <w:numId w:val="11"/>
        </w:numPr>
        <w:spacing w:after="160" w:line="259" w:lineRule="auto"/>
        <w:contextualSpacing/>
        <w:jc w:val="both"/>
        <w:rPr>
          <w:rFonts w:ascii="Arial" w:eastAsia="Calibri" w:hAnsi="Arial" w:cs="Arial"/>
          <w:sz w:val="20"/>
          <w:szCs w:val="20"/>
          <w:lang w:eastAsia="en-US"/>
        </w:rPr>
      </w:pPr>
      <w:r w:rsidRPr="00F73CBF">
        <w:rPr>
          <w:rFonts w:ascii="Arial" w:eastAsia="Calibri" w:hAnsi="Arial" w:cs="Arial"/>
          <w:b/>
          <w:sz w:val="20"/>
          <w:szCs w:val="20"/>
          <w:lang w:eastAsia="en-US"/>
        </w:rPr>
        <w:t>De minimis</w:t>
      </w:r>
      <w:r w:rsidRPr="00F73CBF">
        <w:rPr>
          <w:rFonts w:ascii="Arial" w:eastAsia="Calibri" w:hAnsi="Arial" w:cs="Arial"/>
          <w:sz w:val="20"/>
          <w:szCs w:val="20"/>
          <w:lang w:eastAsia="en-US"/>
        </w:rPr>
        <w:t> : Règlement (UE) n°1407/2013 de la Commission du 18 décembre 2013 relatif à l’application des articles 107 et 108 du traité sur le fonctionnement de l’Union européenne aux aides de minimis.</w:t>
      </w:r>
    </w:p>
    <w:p w:rsidR="00F73CBF" w:rsidRPr="00F73CBF" w:rsidRDefault="00F73CBF" w:rsidP="00F73CBF">
      <w:pPr>
        <w:numPr>
          <w:ilvl w:val="0"/>
          <w:numId w:val="11"/>
        </w:numPr>
        <w:spacing w:after="160" w:line="256" w:lineRule="auto"/>
        <w:contextualSpacing/>
        <w:jc w:val="both"/>
        <w:rPr>
          <w:rFonts w:ascii="Arial" w:eastAsia="Calibri" w:hAnsi="Arial" w:cs="Arial"/>
          <w:sz w:val="20"/>
          <w:szCs w:val="20"/>
          <w:lang w:eastAsia="en-US"/>
        </w:rPr>
      </w:pPr>
      <w:r w:rsidRPr="00F73CBF">
        <w:rPr>
          <w:rFonts w:ascii="Arial" w:eastAsia="Calibri" w:hAnsi="Arial" w:cs="Arial"/>
          <w:b/>
          <w:sz w:val="20"/>
          <w:szCs w:val="20"/>
          <w:lang w:eastAsia="en-US"/>
        </w:rPr>
        <w:t>Agricole </w:t>
      </w:r>
      <w:r w:rsidRPr="00F73CBF">
        <w:rPr>
          <w:rFonts w:ascii="Arial" w:eastAsia="Calibri" w:hAnsi="Arial" w:cs="Arial"/>
          <w:sz w:val="20"/>
          <w:szCs w:val="20"/>
          <w:lang w:eastAsia="en-US"/>
        </w:rPr>
        <w:t>: Régime cadre exempté de notification n° SA 40417 relatif aux aides en faveur des PME actives dans la transformation et la commercialisation de produits agricoles pour la période 2015-2020.</w:t>
      </w:r>
    </w:p>
    <w:p w:rsidR="00F73CBF" w:rsidRPr="00F73CBF" w:rsidRDefault="00F73CBF" w:rsidP="00F73CBF">
      <w:pPr>
        <w:spacing w:line="259" w:lineRule="auto"/>
        <w:jc w:val="both"/>
        <w:rPr>
          <w:rFonts w:ascii="Arial" w:eastAsia="Calibri" w:hAnsi="Arial" w:cs="Arial"/>
          <w:sz w:val="20"/>
          <w:szCs w:val="20"/>
          <w:lang w:eastAsia="en-US"/>
        </w:rPr>
      </w:pPr>
    </w:p>
    <w:p w:rsidR="00F73CBF" w:rsidRPr="00F73CBF" w:rsidRDefault="00F73CBF" w:rsidP="00F73CBF">
      <w:pPr>
        <w:contextualSpacing/>
        <w:jc w:val="center"/>
        <w:rPr>
          <w:rFonts w:cs="Arial"/>
          <w:u w:val="single"/>
        </w:rPr>
      </w:pPr>
      <w:r w:rsidRPr="00F73CBF">
        <w:rPr>
          <w:rFonts w:ascii="Arial" w:hAnsi="Arial" w:cs="Arial"/>
        </w:rPr>
        <w:br w:type="page"/>
      </w:r>
      <w:r w:rsidRPr="00F73CBF">
        <w:rPr>
          <w:rFonts w:cs="Arial"/>
          <w:u w:val="single"/>
        </w:rPr>
        <w:lastRenderedPageBreak/>
        <w:t xml:space="preserve">ANNEXE </w:t>
      </w:r>
    </w:p>
    <w:p w:rsidR="00F73CBF" w:rsidRPr="00F73CBF" w:rsidRDefault="00F73CBF" w:rsidP="00F73CBF">
      <w:pPr>
        <w:contextualSpacing/>
        <w:jc w:val="center"/>
        <w:rPr>
          <w:rFonts w:ascii="Arial" w:hAnsi="Arial" w:cs="Arial"/>
        </w:rPr>
      </w:pPr>
      <w:r w:rsidRPr="00F73CBF">
        <w:rPr>
          <w:rFonts w:ascii="Arial" w:hAnsi="Arial" w:cs="Arial"/>
          <w:b/>
          <w:u w:val="single"/>
        </w:rPr>
        <w:t>Définitions européennes</w:t>
      </w:r>
    </w:p>
    <w:p w:rsidR="00F73CBF" w:rsidRPr="00F73CBF" w:rsidRDefault="00F73CBF" w:rsidP="00F73CBF">
      <w:pPr>
        <w:contextualSpacing/>
        <w:jc w:val="both"/>
        <w:rPr>
          <w:rFonts w:ascii="Arial" w:hAnsi="Arial" w:cs="Arial"/>
        </w:rPr>
      </w:pPr>
    </w:p>
    <w:p w:rsidR="00F73CBF" w:rsidRPr="00F73CBF" w:rsidRDefault="00F73CBF" w:rsidP="00F73CBF">
      <w:pPr>
        <w:contextualSpacing/>
        <w:jc w:val="both"/>
        <w:rPr>
          <w:rFonts w:ascii="Arial" w:hAnsi="Arial" w:cs="Arial"/>
        </w:rPr>
      </w:pPr>
      <w:r w:rsidRPr="00F73CBF">
        <w:rPr>
          <w:rFonts w:ascii="Arial" w:hAnsi="Arial" w:cs="Arial"/>
          <w:b/>
          <w:u w:val="single"/>
        </w:rPr>
        <w:t>PME</w:t>
      </w:r>
      <w:r w:rsidRPr="00F73CBF">
        <w:rPr>
          <w:rFonts w:ascii="Arial" w:hAnsi="Arial" w:cs="Arial"/>
        </w:rPr>
        <w:t xml:space="preserve"> (annexe 1 du Règlement (UE) n° 651/2014 de la Commission du 17 juin 2014)</w:t>
      </w:r>
    </w:p>
    <w:p w:rsidR="00F73CBF" w:rsidRPr="00F73CBF" w:rsidRDefault="00F73CBF" w:rsidP="00F73CBF">
      <w:pPr>
        <w:contextualSpacing/>
        <w:jc w:val="both"/>
        <w:rPr>
          <w:rFonts w:ascii="Arial" w:hAnsi="Arial" w:cs="Arial"/>
        </w:rPr>
      </w:pPr>
    </w:p>
    <w:p w:rsidR="00F73CBF" w:rsidRPr="00F73CBF" w:rsidRDefault="00F73CBF" w:rsidP="00F73CBF">
      <w:pPr>
        <w:contextualSpacing/>
        <w:jc w:val="both"/>
        <w:rPr>
          <w:rFonts w:ascii="Arial" w:hAnsi="Arial" w:cs="Arial"/>
        </w:rPr>
      </w:pPr>
      <w:r w:rsidRPr="00F73CBF">
        <w:rPr>
          <w:rFonts w:ascii="Arial" w:hAnsi="Arial" w:cs="Arial"/>
          <w:noProof/>
        </w:rPr>
        <w:drawing>
          <wp:inline distT="0" distB="0" distL="0" distR="0">
            <wp:extent cx="4676775" cy="64770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6477000"/>
                    </a:xfrm>
                    <a:prstGeom prst="rect">
                      <a:avLst/>
                    </a:prstGeom>
                    <a:noFill/>
                    <a:ln>
                      <a:noFill/>
                    </a:ln>
                  </pic:spPr>
                </pic:pic>
              </a:graphicData>
            </a:graphic>
          </wp:inline>
        </w:drawing>
      </w:r>
    </w:p>
    <w:p w:rsidR="00F73CBF" w:rsidRPr="00F73CBF" w:rsidRDefault="00F73CBF" w:rsidP="00F73CBF">
      <w:pPr>
        <w:contextualSpacing/>
        <w:jc w:val="both"/>
        <w:rPr>
          <w:rFonts w:ascii="Arial" w:hAnsi="Arial" w:cs="Arial"/>
        </w:rPr>
      </w:pPr>
    </w:p>
    <w:p w:rsidR="00F73CBF" w:rsidRPr="00F73CBF" w:rsidRDefault="00F73CBF" w:rsidP="00F73CBF">
      <w:pPr>
        <w:contextualSpacing/>
        <w:jc w:val="both"/>
        <w:rPr>
          <w:rFonts w:ascii="Arial" w:hAnsi="Arial" w:cs="Arial"/>
        </w:rPr>
      </w:pPr>
    </w:p>
    <w:p w:rsidR="00F73CBF" w:rsidRPr="00F73CBF" w:rsidRDefault="00F73CBF" w:rsidP="00F73CBF">
      <w:pPr>
        <w:contextualSpacing/>
        <w:jc w:val="both"/>
        <w:rPr>
          <w:rFonts w:ascii="Arial" w:hAnsi="Arial" w:cs="Arial"/>
        </w:rPr>
      </w:pPr>
      <w:r w:rsidRPr="00F73CBF">
        <w:rPr>
          <w:rFonts w:ascii="Arial" w:hAnsi="Arial" w:cs="Arial"/>
          <w:noProof/>
        </w:rPr>
        <w:lastRenderedPageBreak/>
        <w:drawing>
          <wp:inline distT="0" distB="0" distL="0" distR="0">
            <wp:extent cx="5524500" cy="7943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7943850"/>
                    </a:xfrm>
                    <a:prstGeom prst="rect">
                      <a:avLst/>
                    </a:prstGeom>
                    <a:noFill/>
                    <a:ln>
                      <a:noFill/>
                    </a:ln>
                  </pic:spPr>
                </pic:pic>
              </a:graphicData>
            </a:graphic>
          </wp:inline>
        </w:drawing>
      </w:r>
    </w:p>
    <w:p w:rsidR="00F73CBF" w:rsidRPr="00F73CBF" w:rsidRDefault="00F73CBF" w:rsidP="00F73CBF">
      <w:pPr>
        <w:contextualSpacing/>
        <w:jc w:val="both"/>
        <w:rPr>
          <w:rFonts w:ascii="Arial" w:hAnsi="Arial" w:cs="Arial"/>
        </w:rPr>
      </w:pPr>
    </w:p>
    <w:p w:rsidR="00F73CBF" w:rsidRPr="00F73CBF" w:rsidRDefault="00F73CBF" w:rsidP="00F73CBF">
      <w:pPr>
        <w:contextualSpacing/>
        <w:jc w:val="both"/>
        <w:rPr>
          <w:rFonts w:ascii="Arial" w:hAnsi="Arial" w:cs="Arial"/>
        </w:rPr>
      </w:pPr>
    </w:p>
    <w:p w:rsidR="00F73CBF" w:rsidRPr="00F73CBF" w:rsidRDefault="00F73CBF" w:rsidP="00F73CBF">
      <w:pPr>
        <w:contextualSpacing/>
        <w:jc w:val="both"/>
        <w:rPr>
          <w:rFonts w:ascii="Arial" w:hAnsi="Arial" w:cs="Arial"/>
        </w:rPr>
      </w:pPr>
    </w:p>
    <w:p w:rsidR="00F73CBF" w:rsidRPr="00F73CBF" w:rsidRDefault="00F73CBF" w:rsidP="00F73CBF">
      <w:pPr>
        <w:contextualSpacing/>
        <w:jc w:val="both"/>
        <w:rPr>
          <w:rFonts w:ascii="Arial" w:hAnsi="Arial" w:cs="Arial"/>
        </w:rPr>
      </w:pPr>
      <w:r w:rsidRPr="00F73CBF">
        <w:rPr>
          <w:rFonts w:ascii="Arial" w:hAnsi="Arial" w:cs="Arial"/>
          <w:noProof/>
        </w:rPr>
        <w:lastRenderedPageBreak/>
        <w:drawing>
          <wp:inline distT="0" distB="0" distL="0" distR="0">
            <wp:extent cx="5457825" cy="5610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5610225"/>
                    </a:xfrm>
                    <a:prstGeom prst="rect">
                      <a:avLst/>
                    </a:prstGeom>
                    <a:noFill/>
                    <a:ln>
                      <a:noFill/>
                    </a:ln>
                  </pic:spPr>
                </pic:pic>
              </a:graphicData>
            </a:graphic>
          </wp:inline>
        </w:drawing>
      </w:r>
    </w:p>
    <w:p w:rsidR="00F73CBF" w:rsidRPr="00F73CBF" w:rsidRDefault="00F73CBF" w:rsidP="00F73CBF">
      <w:pPr>
        <w:contextualSpacing/>
        <w:jc w:val="both"/>
        <w:rPr>
          <w:rFonts w:ascii="Arial" w:hAnsi="Arial" w:cs="Arial"/>
        </w:rPr>
      </w:pPr>
    </w:p>
    <w:p w:rsidR="00F73CBF" w:rsidRPr="00F73CBF" w:rsidRDefault="00F73CBF" w:rsidP="00F73CBF">
      <w:pPr>
        <w:rPr>
          <w:rFonts w:ascii="Arial" w:hAnsi="Arial" w:cs="Arial"/>
        </w:rPr>
      </w:pPr>
      <w:r w:rsidRPr="00F73CBF">
        <w:rPr>
          <w:rFonts w:ascii="Arial" w:hAnsi="Arial" w:cs="Arial"/>
        </w:rPr>
        <w:br w:type="page"/>
      </w:r>
    </w:p>
    <w:p w:rsidR="00F73CBF" w:rsidRPr="00F73CBF" w:rsidRDefault="00F73CBF" w:rsidP="00F73CBF">
      <w:pPr>
        <w:contextualSpacing/>
        <w:jc w:val="both"/>
        <w:rPr>
          <w:rFonts w:ascii="Arial" w:hAnsi="Arial" w:cs="Arial"/>
        </w:rPr>
      </w:pPr>
      <w:r w:rsidRPr="00F73CBF">
        <w:rPr>
          <w:rFonts w:ascii="Arial" w:hAnsi="Arial" w:cs="Arial"/>
          <w:b/>
          <w:u w:val="single"/>
        </w:rPr>
        <w:lastRenderedPageBreak/>
        <w:t>Entreprises en difficultés</w:t>
      </w:r>
      <w:r w:rsidRPr="00F73CBF">
        <w:rPr>
          <w:rFonts w:ascii="Arial" w:hAnsi="Arial" w:cs="Arial"/>
        </w:rPr>
        <w:t xml:space="preserve"> (Article 2 du Règlement (UE) n° 651/2014 de la Commission du 17 juin 2014)</w:t>
      </w:r>
    </w:p>
    <w:p w:rsidR="00F73CBF" w:rsidRPr="00F73CBF" w:rsidRDefault="00F73CBF" w:rsidP="00F73CBF">
      <w:pPr>
        <w:contextualSpacing/>
        <w:jc w:val="both"/>
        <w:rPr>
          <w:rFonts w:ascii="Arial" w:hAnsi="Arial" w:cs="Arial"/>
        </w:rPr>
      </w:pPr>
    </w:p>
    <w:p w:rsidR="00F73CBF" w:rsidRPr="00F73CBF" w:rsidRDefault="00F73CBF" w:rsidP="00F73CBF">
      <w:pPr>
        <w:contextualSpacing/>
        <w:jc w:val="both"/>
        <w:rPr>
          <w:rFonts w:ascii="Arial" w:hAnsi="Arial" w:cs="Arial"/>
        </w:rPr>
      </w:pPr>
      <w:r w:rsidRPr="00F73CBF">
        <w:rPr>
          <w:rFonts w:ascii="Arial" w:hAnsi="Arial" w:cs="Arial"/>
          <w:noProof/>
        </w:rPr>
        <w:drawing>
          <wp:inline distT="0" distB="0" distL="0" distR="0">
            <wp:extent cx="5753100" cy="4772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772025"/>
                    </a:xfrm>
                    <a:prstGeom prst="rect">
                      <a:avLst/>
                    </a:prstGeom>
                    <a:noFill/>
                    <a:ln>
                      <a:noFill/>
                    </a:ln>
                  </pic:spPr>
                </pic:pic>
              </a:graphicData>
            </a:graphic>
          </wp:inline>
        </w:drawing>
      </w:r>
    </w:p>
    <w:p w:rsidR="00F73CBF" w:rsidRPr="00F73CBF" w:rsidRDefault="00F73CBF" w:rsidP="00F73CBF">
      <w:pPr>
        <w:contextualSpacing/>
        <w:jc w:val="both"/>
        <w:rPr>
          <w:rFonts w:ascii="Arial" w:hAnsi="Arial" w:cs="Arial"/>
        </w:rPr>
      </w:pPr>
    </w:p>
    <w:p w:rsidR="00F73CBF" w:rsidRPr="00F73CBF" w:rsidRDefault="00F73CBF" w:rsidP="00F73CBF">
      <w:pPr>
        <w:rPr>
          <w:rFonts w:ascii="Arial" w:hAnsi="Arial" w:cs="Arial"/>
          <w:sz w:val="20"/>
          <w:szCs w:val="20"/>
        </w:rPr>
      </w:pPr>
    </w:p>
    <w:p w:rsidR="00F73CBF" w:rsidRPr="00F73CBF" w:rsidRDefault="00F73CBF" w:rsidP="00F73CBF">
      <w:pPr>
        <w:keepLines/>
        <w:spacing w:before="2400" w:after="720" w:line="360" w:lineRule="atLeast"/>
        <w:ind w:left="4536"/>
        <w:jc w:val="center"/>
        <w:rPr>
          <w:rFonts w:ascii="Arial" w:hAnsi="Arial" w:cs="Arial"/>
          <w:b/>
          <w:sz w:val="18"/>
          <w:szCs w:val="20"/>
        </w:rPr>
      </w:pPr>
    </w:p>
    <w:p w:rsidR="00F73CBF" w:rsidRPr="00F73CBF" w:rsidRDefault="00F73CBF" w:rsidP="00F73CBF">
      <w:pPr>
        <w:keepLines/>
        <w:ind w:left="4536"/>
        <w:jc w:val="center"/>
        <w:rPr>
          <w:rFonts w:ascii="Arial" w:hAnsi="Arial" w:cs="Arial"/>
          <w:b/>
          <w:sz w:val="18"/>
          <w:szCs w:val="20"/>
        </w:rPr>
      </w:pPr>
    </w:p>
    <w:p w:rsidR="00EE53CF" w:rsidRPr="00F73CBF" w:rsidRDefault="00EE53CF">
      <w:pPr>
        <w:rPr>
          <w:rFonts w:ascii="Arial" w:hAnsi="Arial" w:cs="Arial"/>
          <w:sz w:val="20"/>
          <w:szCs w:val="20"/>
        </w:rPr>
      </w:pPr>
    </w:p>
    <w:sectPr w:rsidR="00EE53CF" w:rsidRPr="00F73CBF" w:rsidSect="00DE6224">
      <w:footerReference w:type="default" r:id="rId11"/>
      <w:pgSz w:w="11907" w:h="16840" w:code="9"/>
      <w:pgMar w:top="851" w:right="851" w:bottom="851" w:left="851" w:header="720" w:footer="72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E6B" w:rsidRDefault="00C1528A">
      <w:r>
        <w:separator/>
      </w:r>
    </w:p>
  </w:endnote>
  <w:endnote w:type="continuationSeparator" w:id="0">
    <w:p w:rsidR="008F1E6B" w:rsidRDefault="00C1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465" w:rsidRDefault="006E7A75">
    <w:pPr>
      <w:pStyle w:val="Pieddepage"/>
      <w:rPr>
        <w:rFonts w:ascii="Arial" w:hAnsi="Arial"/>
      </w:rPr>
    </w:pPr>
    <w:r>
      <w:rPr>
        <w:rFonts w:ascii="Arial" w:hAnsi="Arial"/>
      </w:rPr>
      <w:t xml:space="preserve">Feuille n° </w:t>
    </w:r>
    <w:r>
      <w:rPr>
        <w:rFonts w:ascii="Arial" w:hAnsi="Arial"/>
      </w:rPr>
      <w:fldChar w:fldCharType="begin"/>
    </w:r>
    <w:r>
      <w:rPr>
        <w:rFonts w:ascii="Arial" w:hAnsi="Arial"/>
      </w:rPr>
      <w:instrText xml:space="preserve"> PAGE \* ARABIC </w:instrText>
    </w:r>
    <w:r>
      <w:rPr>
        <w:rFonts w:ascii="Arial" w:hAnsi="Arial"/>
      </w:rPr>
      <w:fldChar w:fldCharType="separate"/>
    </w:r>
    <w:r w:rsidR="00826CA2">
      <w:rPr>
        <w:rFonts w:ascii="Arial" w:hAnsi="Arial"/>
        <w:noProof/>
      </w:rPr>
      <w:t>1</w:t>
    </w:r>
    <w:r>
      <w:rPr>
        <w:rFonts w:ascii="Arial" w:hAnsi="Arial"/>
      </w:rPr>
      <w:fldChar w:fldCharType="end"/>
    </w:r>
    <w:r>
      <w:rPr>
        <w:rFonts w:ascii="Arial" w:hAnsi="Arial"/>
      </w:rPr>
      <w:t xml:space="preserve"> de la Délibération n° </w:t>
    </w:r>
    <w:r>
      <w:rPr>
        <w:rFonts w:ascii="Arial" w:hAnsi="Arial"/>
      </w:rPr>
      <w:fldChar w:fldCharType="begin"/>
    </w:r>
    <w:r>
      <w:rPr>
        <w:rFonts w:ascii="Arial" w:hAnsi="Arial"/>
      </w:rPr>
      <w:instrText xml:space="preserve"> REF numéro_délibération </w:instrText>
    </w:r>
    <w:r>
      <w:rPr>
        <w:rFonts w:ascii="Arial" w:hAnsi="Arial"/>
      </w:rPr>
      <w:fldChar w:fldCharType="separate"/>
    </w:r>
    <w:r>
      <w:rPr>
        <w:rFonts w:ascii="Arial" w:hAnsi="Arial"/>
        <w:color w:val="FF0000"/>
      </w:rPr>
      <w:t>( provisoire 54827 )</w:t>
    </w:r>
    <w:r>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E6B" w:rsidRDefault="00C1528A">
      <w:r>
        <w:separator/>
      </w:r>
    </w:p>
  </w:footnote>
  <w:footnote w:type="continuationSeparator" w:id="0">
    <w:p w:rsidR="008F1E6B" w:rsidRDefault="00C15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462"/>
    <w:multiLevelType w:val="hybridMultilevel"/>
    <w:tmpl w:val="0ECE7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E92258"/>
    <w:multiLevelType w:val="hybridMultilevel"/>
    <w:tmpl w:val="19F65506"/>
    <w:lvl w:ilvl="0" w:tplc="D3248B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1D0FD3"/>
    <w:multiLevelType w:val="hybridMultilevel"/>
    <w:tmpl w:val="AC9EB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1106A5"/>
    <w:multiLevelType w:val="hybridMultilevel"/>
    <w:tmpl w:val="44282D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E875A1D"/>
    <w:multiLevelType w:val="hybridMultilevel"/>
    <w:tmpl w:val="B4383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E2096F"/>
    <w:multiLevelType w:val="hybridMultilevel"/>
    <w:tmpl w:val="4D064C5C"/>
    <w:lvl w:ilvl="0" w:tplc="218AEC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246AD3"/>
    <w:multiLevelType w:val="hybridMultilevel"/>
    <w:tmpl w:val="090C6DA8"/>
    <w:lvl w:ilvl="0" w:tplc="5BA6648C">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8D73E40"/>
    <w:multiLevelType w:val="hybridMultilevel"/>
    <w:tmpl w:val="15D4D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F373E2"/>
    <w:multiLevelType w:val="hybridMultilevel"/>
    <w:tmpl w:val="EC5410D4"/>
    <w:lvl w:ilvl="0" w:tplc="D3248B6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DB03F3"/>
    <w:multiLevelType w:val="hybridMultilevel"/>
    <w:tmpl w:val="3DF8BB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9B1790"/>
    <w:multiLevelType w:val="hybridMultilevel"/>
    <w:tmpl w:val="9CC4A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C7222D"/>
    <w:multiLevelType w:val="hybridMultilevel"/>
    <w:tmpl w:val="9462E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0"/>
  </w:num>
  <w:num w:numId="5">
    <w:abstractNumId w:val="11"/>
  </w:num>
  <w:num w:numId="6">
    <w:abstractNumId w:val="5"/>
  </w:num>
  <w:num w:numId="7">
    <w:abstractNumId w:val="4"/>
  </w:num>
  <w:num w:numId="8">
    <w:abstractNumId w:val="8"/>
  </w:num>
  <w:num w:numId="9">
    <w:abstractNumId w:val="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BF"/>
    <w:rsid w:val="006E7A75"/>
    <w:rsid w:val="00826CA2"/>
    <w:rsid w:val="008F1E6B"/>
    <w:rsid w:val="009405A9"/>
    <w:rsid w:val="00C1528A"/>
    <w:rsid w:val="00EE53CF"/>
    <w:rsid w:val="00F73C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58BE8C-F1B2-4D6F-B8FD-502B69FB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73CBF"/>
    <w:pPr>
      <w:tabs>
        <w:tab w:val="center" w:pos="4536"/>
        <w:tab w:val="right" w:pos="9072"/>
      </w:tabs>
    </w:pPr>
    <w:rPr>
      <w:sz w:val="20"/>
      <w:szCs w:val="20"/>
    </w:rPr>
  </w:style>
  <w:style w:type="character" w:customStyle="1" w:styleId="PieddepageCar">
    <w:name w:val="Pied de page Car"/>
    <w:basedOn w:val="Policepardfaut"/>
    <w:link w:val="Pieddepage"/>
    <w:rsid w:val="00F73CBF"/>
  </w:style>
  <w:style w:type="paragraph" w:styleId="Paragraphedeliste">
    <w:name w:val="List Paragraph"/>
    <w:basedOn w:val="Normal"/>
    <w:uiPriority w:val="34"/>
    <w:qFormat/>
    <w:rsid w:val="009405A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1280</Words>
  <Characters>7414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 Jean-Denis</dc:creator>
  <cp:keywords/>
  <dc:description/>
  <cp:lastModifiedBy>COLLE Jean-Denis</cp:lastModifiedBy>
  <cp:revision>2</cp:revision>
  <dcterms:created xsi:type="dcterms:W3CDTF">2017-06-28T14:18:00Z</dcterms:created>
  <dcterms:modified xsi:type="dcterms:W3CDTF">2017-06-28T14:18:00Z</dcterms:modified>
</cp:coreProperties>
</file>