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BF" w:rsidRPr="00573FBF" w:rsidRDefault="00BA34B8" w:rsidP="00573FBF">
      <w:pPr>
        <w:pBdr>
          <w:top w:val="single" w:sz="4" w:space="1" w:color="auto"/>
          <w:left w:val="single" w:sz="4" w:space="4" w:color="auto"/>
          <w:bottom w:val="single" w:sz="4" w:space="1" w:color="auto"/>
          <w:right w:val="single" w:sz="4" w:space="4" w:color="auto"/>
        </w:pBdr>
        <w:spacing w:line="259" w:lineRule="auto"/>
        <w:jc w:val="center"/>
        <w:rPr>
          <w:rFonts w:eastAsia="Calibri" w:cs="Arial"/>
          <w:b/>
          <w:sz w:val="28"/>
          <w:szCs w:val="28"/>
          <w:lang w:eastAsia="en-US"/>
        </w:rPr>
      </w:pPr>
      <w:r>
        <w:rPr>
          <w:rFonts w:eastAsia="Calibri" w:cs="Arial"/>
          <w:b/>
          <w:sz w:val="28"/>
          <w:szCs w:val="28"/>
          <w:lang w:eastAsia="en-US"/>
        </w:rPr>
        <w:t xml:space="preserve">Evolution du </w:t>
      </w:r>
      <w:r w:rsidR="00573FBF" w:rsidRPr="00573FBF">
        <w:rPr>
          <w:rFonts w:eastAsia="Calibri" w:cs="Arial"/>
          <w:b/>
          <w:sz w:val="28"/>
          <w:szCs w:val="28"/>
          <w:lang w:eastAsia="en-US"/>
        </w:rPr>
        <w:t>Cadre d’intervention régional</w:t>
      </w:r>
    </w:p>
    <w:p w:rsidR="00573FBF" w:rsidRPr="00573FBF" w:rsidRDefault="00573FBF" w:rsidP="00573FBF">
      <w:pPr>
        <w:pBdr>
          <w:top w:val="single" w:sz="4" w:space="1" w:color="auto"/>
          <w:left w:val="single" w:sz="4" w:space="4" w:color="auto"/>
          <w:bottom w:val="single" w:sz="4" w:space="1" w:color="auto"/>
          <w:right w:val="single" w:sz="4" w:space="4" w:color="auto"/>
        </w:pBdr>
        <w:spacing w:line="259" w:lineRule="auto"/>
        <w:jc w:val="center"/>
        <w:rPr>
          <w:rFonts w:eastAsia="Calibri" w:cs="Arial"/>
          <w:b/>
          <w:sz w:val="28"/>
          <w:szCs w:val="28"/>
          <w:lang w:eastAsia="en-US"/>
        </w:rPr>
      </w:pPr>
      <w:r w:rsidRPr="00573FBF">
        <w:rPr>
          <w:rFonts w:eastAsia="Calibri" w:cs="Arial"/>
          <w:b/>
          <w:sz w:val="28"/>
          <w:szCs w:val="28"/>
          <w:lang w:eastAsia="en-US"/>
        </w:rPr>
        <w:t>« </w:t>
      </w:r>
      <w:r w:rsidR="00BA34B8">
        <w:rPr>
          <w:rFonts w:eastAsia="Calibri" w:cs="Arial"/>
          <w:b/>
          <w:sz w:val="28"/>
          <w:szCs w:val="28"/>
          <w:lang w:eastAsia="en-US"/>
        </w:rPr>
        <w:t>Investissement Robonumérique</w:t>
      </w:r>
      <w:r w:rsidR="00510FA9">
        <w:rPr>
          <w:rFonts w:eastAsia="Calibri" w:cs="Arial"/>
          <w:b/>
          <w:sz w:val="28"/>
          <w:szCs w:val="28"/>
          <w:lang w:eastAsia="en-US"/>
        </w:rPr>
        <w:t xml:space="preserve"> </w:t>
      </w:r>
      <w:r w:rsidRPr="00573FBF">
        <w:rPr>
          <w:rFonts w:eastAsia="Calibri" w:cs="Arial"/>
          <w:b/>
          <w:sz w:val="28"/>
          <w:szCs w:val="28"/>
          <w:lang w:eastAsia="en-US"/>
        </w:rPr>
        <w:t>»</w:t>
      </w:r>
      <w:r w:rsidR="00BA34B8">
        <w:rPr>
          <w:rFonts w:eastAsia="Calibri" w:cs="Arial"/>
          <w:b/>
          <w:sz w:val="28"/>
          <w:szCs w:val="28"/>
          <w:lang w:eastAsia="en-US"/>
        </w:rPr>
        <w:t xml:space="preserve"> en « Investissement Performance Industrielle »</w:t>
      </w:r>
    </w:p>
    <w:p w:rsidR="00573FBF" w:rsidRPr="00573FBF" w:rsidRDefault="00573FBF" w:rsidP="00573FBF">
      <w:pPr>
        <w:spacing w:after="160" w:line="259" w:lineRule="auto"/>
        <w:rPr>
          <w:rFonts w:eastAsia="Calibri" w:cs="Arial"/>
          <w:szCs w:val="20"/>
          <w:lang w:eastAsia="en-US"/>
        </w:rPr>
      </w:pPr>
    </w:p>
    <w:p w:rsidR="00AA54AB" w:rsidRPr="00BB7F7A" w:rsidRDefault="00AA54AB" w:rsidP="00AA54AB">
      <w:pPr>
        <w:pStyle w:val="Paragraphedeliste"/>
        <w:numPr>
          <w:ilvl w:val="0"/>
          <w:numId w:val="6"/>
        </w:numPr>
        <w:spacing w:after="160" w:line="259" w:lineRule="auto"/>
        <w:jc w:val="both"/>
        <w:rPr>
          <w:rFonts w:eastAsia="Calibri" w:cs="Arial"/>
          <w:szCs w:val="20"/>
          <w:lang w:eastAsia="en-US"/>
        </w:rPr>
      </w:pPr>
      <w:r w:rsidRPr="00BB7F7A">
        <w:rPr>
          <w:rFonts w:eastAsia="Calibri" w:cs="Arial"/>
          <w:b/>
          <w:szCs w:val="20"/>
          <w:u w:val="single"/>
          <w:lang w:eastAsia="en-US"/>
        </w:rPr>
        <w:t>Préambule</w:t>
      </w:r>
      <w:r w:rsidRPr="00BB7F7A">
        <w:rPr>
          <w:rFonts w:eastAsia="Calibri" w:cs="Arial"/>
          <w:szCs w:val="20"/>
          <w:lang w:eastAsia="en-US"/>
        </w:rPr>
        <w:t xml:space="preserve"> </w:t>
      </w:r>
    </w:p>
    <w:p w:rsidR="00573FBF" w:rsidRPr="00AA54AB" w:rsidRDefault="00573FBF" w:rsidP="00AA54AB">
      <w:pPr>
        <w:spacing w:after="160" w:line="259" w:lineRule="auto"/>
        <w:jc w:val="both"/>
        <w:rPr>
          <w:rFonts w:eastAsia="Calibri" w:cs="Arial"/>
          <w:szCs w:val="20"/>
          <w:lang w:eastAsia="en-US"/>
        </w:rPr>
      </w:pPr>
      <w:r w:rsidRPr="00AA54AB">
        <w:rPr>
          <w:rFonts w:eastAsia="Calibri" w:cs="Arial"/>
          <w:szCs w:val="20"/>
          <w:lang w:eastAsia="en-US"/>
        </w:rPr>
        <w:t>Le Schéma Régional de Développement Economique, d’Innovation et d’Internationalisation (SRDEII) présente l’ambition forte d’emmener les Hauts de France vers l’excellence économique, le plein emploi et de se tourner résolument vers l’avenir.</w:t>
      </w:r>
    </w:p>
    <w:p w:rsidR="00573FBF" w:rsidRPr="00BB7F7A" w:rsidRDefault="000135E8" w:rsidP="00573FBF">
      <w:pPr>
        <w:spacing w:after="160" w:line="259" w:lineRule="auto"/>
        <w:jc w:val="both"/>
        <w:rPr>
          <w:rFonts w:eastAsia="Calibri" w:cs="Arial"/>
          <w:b/>
          <w:szCs w:val="20"/>
          <w:lang w:eastAsia="en-US"/>
        </w:rPr>
      </w:pPr>
      <w:r w:rsidRPr="00BB7F7A">
        <w:rPr>
          <w:rFonts w:eastAsia="Calibri" w:cs="Arial"/>
          <w:b/>
          <w:szCs w:val="20"/>
          <w:lang w:eastAsia="en-US"/>
        </w:rPr>
        <w:t>La crise sanitaire a révélé les fragilités des entreprises industrielles (approvisionnements, diversification…)</w:t>
      </w:r>
      <w:r w:rsidR="003E19DE" w:rsidRPr="00BB7F7A">
        <w:rPr>
          <w:rFonts w:eastAsia="Calibri" w:cs="Arial"/>
          <w:b/>
          <w:szCs w:val="20"/>
          <w:lang w:eastAsia="en-US"/>
        </w:rPr>
        <w:t xml:space="preserve">. </w:t>
      </w:r>
      <w:r w:rsidRPr="00BB7F7A">
        <w:rPr>
          <w:rFonts w:eastAsia="Calibri" w:cs="Arial"/>
          <w:b/>
          <w:szCs w:val="20"/>
          <w:lang w:eastAsia="en-US"/>
        </w:rPr>
        <w:t>Le maintien de leur compétitivité est un enjeu clé dans la relance de leur activité. Il est crucial de les accompagner dans la modernisation de leur outil de production pour leur permettre de rester concurrentielle</w:t>
      </w:r>
      <w:r w:rsidR="00B41B09" w:rsidRPr="00BB7F7A">
        <w:rPr>
          <w:rFonts w:eastAsia="Calibri" w:cs="Arial"/>
          <w:b/>
          <w:szCs w:val="20"/>
          <w:lang w:eastAsia="en-US"/>
        </w:rPr>
        <w:t>s</w:t>
      </w:r>
      <w:r w:rsidRPr="00BB7F7A">
        <w:rPr>
          <w:rFonts w:eastAsia="Calibri" w:cs="Arial"/>
          <w:b/>
          <w:szCs w:val="20"/>
          <w:lang w:eastAsia="en-US"/>
        </w:rPr>
        <w:t xml:space="preserve"> et de s’adapter à leur environnement. </w:t>
      </w:r>
    </w:p>
    <w:p w:rsidR="00573FBF" w:rsidRPr="00573FBF" w:rsidRDefault="00573FBF" w:rsidP="00AA54AB">
      <w:pPr>
        <w:pStyle w:val="Paragraphedeliste"/>
        <w:numPr>
          <w:ilvl w:val="0"/>
          <w:numId w:val="6"/>
        </w:numPr>
        <w:spacing w:after="160" w:line="259" w:lineRule="auto"/>
        <w:jc w:val="both"/>
        <w:rPr>
          <w:rFonts w:eastAsia="Calibri" w:cs="Arial"/>
          <w:b/>
          <w:szCs w:val="20"/>
          <w:u w:val="single"/>
          <w:lang w:eastAsia="en-US"/>
        </w:rPr>
      </w:pPr>
      <w:r w:rsidRPr="00573FBF">
        <w:rPr>
          <w:rFonts w:eastAsia="Calibri" w:cs="Arial"/>
          <w:b/>
          <w:szCs w:val="20"/>
          <w:u w:val="single"/>
          <w:lang w:eastAsia="en-US"/>
        </w:rPr>
        <w:t>Objectifs</w:t>
      </w:r>
    </w:p>
    <w:p w:rsidR="003D5A51" w:rsidRPr="00BB7F7A" w:rsidRDefault="00573FBF" w:rsidP="00573FBF">
      <w:pPr>
        <w:spacing w:after="160" w:line="259" w:lineRule="auto"/>
        <w:jc w:val="both"/>
        <w:rPr>
          <w:rFonts w:eastAsia="Calibri" w:cs="Arial"/>
          <w:b/>
          <w:szCs w:val="20"/>
          <w:lang w:eastAsia="en-US"/>
        </w:rPr>
      </w:pPr>
      <w:r w:rsidRPr="00BB7F7A">
        <w:rPr>
          <w:rFonts w:eastAsia="Calibri" w:cs="Arial"/>
          <w:b/>
          <w:szCs w:val="20"/>
          <w:lang w:eastAsia="en-US"/>
        </w:rPr>
        <w:t>Aider les entreprises régionales</w:t>
      </w:r>
      <w:r w:rsidR="00AA54AB" w:rsidRPr="00BB7F7A">
        <w:rPr>
          <w:rFonts w:eastAsia="Calibri" w:cs="Arial"/>
          <w:b/>
          <w:szCs w:val="20"/>
          <w:lang w:eastAsia="en-US"/>
        </w:rPr>
        <w:t xml:space="preserve"> à franchir une étape dans leur développement et les soutenir dans le maintien de  leur compétitivité</w:t>
      </w:r>
      <w:r w:rsidRPr="00BB7F7A">
        <w:rPr>
          <w:rFonts w:eastAsia="Calibri" w:cs="Arial"/>
          <w:b/>
          <w:szCs w:val="20"/>
          <w:lang w:eastAsia="en-US"/>
        </w:rPr>
        <w:t xml:space="preserve"> </w:t>
      </w:r>
      <w:r w:rsidR="00AA54AB" w:rsidRPr="00BB7F7A">
        <w:rPr>
          <w:rFonts w:eastAsia="Calibri" w:cs="Arial"/>
          <w:b/>
          <w:szCs w:val="20"/>
          <w:lang w:eastAsia="en-US"/>
        </w:rPr>
        <w:t>dans un contexte international hyper concurrencé. Ce soutien doit s’inscrire dans un projet et une stratégie moyen –long terme de l’entreprise. Il doit permettre à plus grande échelle le maintien et la création d’emploi industriel en Hauts d</w:t>
      </w:r>
      <w:r w:rsidR="00A015A1" w:rsidRPr="00BB7F7A">
        <w:rPr>
          <w:rFonts w:eastAsia="Calibri" w:cs="Arial"/>
          <w:b/>
          <w:szCs w:val="20"/>
          <w:lang w:eastAsia="en-US"/>
        </w:rPr>
        <w:t xml:space="preserve">e </w:t>
      </w:r>
      <w:r w:rsidR="00AA54AB" w:rsidRPr="00BB7F7A">
        <w:rPr>
          <w:rFonts w:eastAsia="Calibri" w:cs="Arial"/>
          <w:b/>
          <w:szCs w:val="20"/>
          <w:lang w:eastAsia="en-US"/>
        </w:rPr>
        <w:t xml:space="preserve">France. </w:t>
      </w:r>
    </w:p>
    <w:p w:rsidR="00A015A1" w:rsidRPr="00BB7F7A" w:rsidRDefault="00A015A1" w:rsidP="00A015A1">
      <w:pPr>
        <w:pStyle w:val="Paragraphedeliste"/>
        <w:numPr>
          <w:ilvl w:val="0"/>
          <w:numId w:val="6"/>
        </w:numPr>
        <w:spacing w:after="160" w:line="259" w:lineRule="auto"/>
        <w:jc w:val="both"/>
        <w:rPr>
          <w:rFonts w:eastAsia="Calibri" w:cs="Arial"/>
          <w:b/>
          <w:szCs w:val="20"/>
          <w:u w:val="single"/>
          <w:lang w:eastAsia="en-US"/>
        </w:rPr>
      </w:pPr>
      <w:r w:rsidRPr="00BB7F7A">
        <w:rPr>
          <w:rFonts w:eastAsia="Calibri" w:cs="Arial"/>
          <w:b/>
          <w:szCs w:val="20"/>
          <w:u w:val="single"/>
          <w:lang w:eastAsia="en-US"/>
        </w:rPr>
        <w:t xml:space="preserve">Zone géographique d’application et durée de mise en œuvre </w:t>
      </w:r>
    </w:p>
    <w:p w:rsidR="00A015A1" w:rsidRPr="00510FA9" w:rsidRDefault="00A015A1" w:rsidP="00A015A1">
      <w:pPr>
        <w:spacing w:line="259" w:lineRule="auto"/>
        <w:jc w:val="both"/>
        <w:rPr>
          <w:rFonts w:eastAsia="Calibri" w:cs="Arial"/>
          <w:szCs w:val="20"/>
          <w:lang w:eastAsia="en-US"/>
        </w:rPr>
      </w:pPr>
      <w:r w:rsidRPr="00510FA9">
        <w:rPr>
          <w:rFonts w:eastAsia="Calibri" w:cs="Arial"/>
          <w:szCs w:val="20"/>
          <w:lang w:eastAsia="en-US"/>
        </w:rPr>
        <w:t>Le présent cadre d’intervention est applicable sur l’ensemble du territoire de la Région Hauts-de-France.</w:t>
      </w:r>
    </w:p>
    <w:p w:rsidR="00A015A1" w:rsidRPr="00510FA9" w:rsidRDefault="00A015A1" w:rsidP="00A015A1">
      <w:pPr>
        <w:spacing w:line="259" w:lineRule="auto"/>
        <w:jc w:val="both"/>
        <w:rPr>
          <w:rFonts w:eastAsia="Calibri" w:cs="Arial"/>
          <w:szCs w:val="20"/>
          <w:lang w:eastAsia="en-US"/>
        </w:rPr>
      </w:pPr>
      <w:r w:rsidRPr="00510FA9">
        <w:rPr>
          <w:rFonts w:eastAsia="Calibri" w:cs="Arial"/>
          <w:szCs w:val="20"/>
          <w:lang w:eastAsia="en-US"/>
        </w:rPr>
        <w:t>Il entre en application à compter de la délibération exécutoire du Conseil Régional y afférente et demeure</w:t>
      </w:r>
    </w:p>
    <w:p w:rsidR="00A015A1" w:rsidRDefault="00A015A1" w:rsidP="00A015A1">
      <w:pPr>
        <w:spacing w:line="259" w:lineRule="auto"/>
        <w:jc w:val="both"/>
        <w:rPr>
          <w:rFonts w:eastAsia="Calibri" w:cs="Arial"/>
          <w:szCs w:val="20"/>
          <w:lang w:eastAsia="en-US"/>
        </w:rPr>
      </w:pPr>
      <w:r>
        <w:rPr>
          <w:rFonts w:eastAsia="Calibri" w:cs="Arial"/>
          <w:szCs w:val="20"/>
          <w:lang w:eastAsia="en-US"/>
        </w:rPr>
        <w:t>applicable</w:t>
      </w:r>
      <w:r w:rsidRPr="00510FA9">
        <w:rPr>
          <w:rFonts w:eastAsia="Calibri" w:cs="Arial"/>
          <w:szCs w:val="20"/>
          <w:lang w:eastAsia="en-US"/>
        </w:rPr>
        <w:t xml:space="preserve"> tant qu’il reste conforme au SRDEII et aux règles européennes en matière d’aide d’Etat.</w:t>
      </w:r>
    </w:p>
    <w:p w:rsidR="00A015A1" w:rsidRPr="00A015A1" w:rsidRDefault="00A015A1" w:rsidP="00A015A1">
      <w:pPr>
        <w:spacing w:after="160" w:line="259" w:lineRule="auto"/>
        <w:jc w:val="both"/>
        <w:rPr>
          <w:rFonts w:eastAsia="Calibri" w:cs="Arial"/>
          <w:szCs w:val="20"/>
          <w:lang w:eastAsia="en-US"/>
        </w:rPr>
      </w:pPr>
    </w:p>
    <w:p w:rsidR="00573FBF" w:rsidRPr="00BB7F7A" w:rsidRDefault="003726C2" w:rsidP="00A015A1">
      <w:pPr>
        <w:pStyle w:val="Paragraphedeliste"/>
        <w:numPr>
          <w:ilvl w:val="0"/>
          <w:numId w:val="6"/>
        </w:numPr>
        <w:spacing w:after="160" w:line="259" w:lineRule="auto"/>
        <w:jc w:val="both"/>
        <w:rPr>
          <w:rFonts w:eastAsia="Calibri" w:cs="Arial"/>
          <w:b/>
          <w:szCs w:val="20"/>
          <w:u w:val="single"/>
          <w:lang w:eastAsia="en-US"/>
        </w:rPr>
      </w:pPr>
      <w:r w:rsidRPr="00BB7F7A">
        <w:rPr>
          <w:rFonts w:eastAsia="Calibri" w:cs="Arial"/>
          <w:b/>
          <w:szCs w:val="20"/>
          <w:u w:val="single"/>
          <w:lang w:eastAsia="en-US"/>
        </w:rPr>
        <w:t>Bénéficiaires éligibles et exclusions</w:t>
      </w:r>
    </w:p>
    <w:p w:rsidR="003726C2" w:rsidRPr="00BB7F7A" w:rsidRDefault="003726C2" w:rsidP="003726C2">
      <w:pPr>
        <w:pStyle w:val="Paragraphedeliste"/>
        <w:spacing w:after="160" w:line="259" w:lineRule="auto"/>
        <w:jc w:val="both"/>
        <w:rPr>
          <w:rFonts w:eastAsia="Calibri" w:cs="Arial"/>
          <w:b/>
          <w:szCs w:val="20"/>
          <w:u w:val="single"/>
          <w:lang w:eastAsia="en-US"/>
        </w:rPr>
      </w:pPr>
    </w:p>
    <w:p w:rsidR="003726C2" w:rsidRPr="00BB7F7A" w:rsidRDefault="003726C2" w:rsidP="003726C2">
      <w:pPr>
        <w:pStyle w:val="Paragraphedeliste"/>
        <w:spacing w:after="160" w:line="259" w:lineRule="auto"/>
        <w:ind w:left="1440"/>
        <w:jc w:val="both"/>
        <w:rPr>
          <w:rFonts w:eastAsia="Calibri" w:cs="Arial"/>
          <w:b/>
          <w:szCs w:val="20"/>
          <w:u w:val="single"/>
          <w:lang w:eastAsia="en-US"/>
        </w:rPr>
      </w:pPr>
      <w:r w:rsidRPr="00BB7F7A">
        <w:rPr>
          <w:rFonts w:eastAsia="Calibri" w:cs="Arial"/>
          <w:b/>
          <w:szCs w:val="20"/>
          <w:u w:val="single"/>
          <w:lang w:eastAsia="en-US"/>
        </w:rPr>
        <w:t xml:space="preserve">4.1 Bénéficiaires éligibles </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PME au sens euro</w:t>
      </w:r>
      <w:r w:rsidR="00CA73B0">
        <w:rPr>
          <w:rFonts w:eastAsia="Calibri" w:cs="Arial"/>
          <w:szCs w:val="20"/>
          <w:lang w:eastAsia="en-US"/>
        </w:rPr>
        <w:t>péen (cf. d</w:t>
      </w:r>
      <w:r w:rsidR="00510FA9">
        <w:rPr>
          <w:rFonts w:eastAsia="Calibri" w:cs="Arial"/>
          <w:szCs w:val="20"/>
          <w:lang w:eastAsia="en-US"/>
        </w:rPr>
        <w:t>éfinition en annexe) et ETI (moins de 2000 salariés)</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Justifiant d’au moins une année d’activité (au moins 1 exercice fiscal)</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Inscrites au RCS (Registre du Commerce et des Sociétés) et/ou au RM (Registre des Métiers)</w:t>
      </w:r>
    </w:p>
    <w:p w:rsidR="00573FBF" w:rsidRDefault="00573FBF" w:rsidP="00573FBF">
      <w:pPr>
        <w:numPr>
          <w:ilvl w:val="0"/>
          <w:numId w:val="1"/>
        </w:numPr>
        <w:rPr>
          <w:rFonts w:eastAsia="Calibri" w:cs="Arial"/>
          <w:szCs w:val="20"/>
          <w:lang w:eastAsia="en-US"/>
        </w:rPr>
      </w:pPr>
      <w:r w:rsidRPr="00573FBF">
        <w:rPr>
          <w:rFonts w:eastAsia="Calibri" w:cs="Arial"/>
          <w:szCs w:val="20"/>
          <w:lang w:eastAsia="en-US"/>
        </w:rPr>
        <w:t>Ne sont pas éligibles au dispositif les entreprises qui sont considérées comme inéligibles aux régimes d’aides européens sur lesquels s’appuie le présent dispositif.</w:t>
      </w:r>
    </w:p>
    <w:p w:rsidR="003726C2" w:rsidRDefault="003726C2" w:rsidP="003726C2">
      <w:pPr>
        <w:pStyle w:val="Paragraphedeliste"/>
        <w:numPr>
          <w:ilvl w:val="0"/>
          <w:numId w:val="1"/>
        </w:numPr>
        <w:spacing w:after="160" w:line="259" w:lineRule="auto"/>
        <w:jc w:val="both"/>
        <w:rPr>
          <w:rFonts w:eastAsia="Calibri" w:cs="Arial"/>
          <w:szCs w:val="20"/>
          <w:lang w:eastAsia="en-US"/>
        </w:rPr>
      </w:pPr>
      <w:r w:rsidRPr="003726C2">
        <w:rPr>
          <w:rFonts w:eastAsia="Calibri" w:cs="Arial"/>
          <w:szCs w:val="20"/>
          <w:lang w:eastAsia="en-US"/>
        </w:rPr>
        <w:t>L’entreprise doit être à jour de ses obligations fiscales et sociales.</w:t>
      </w:r>
    </w:p>
    <w:p w:rsidR="003726C2" w:rsidRDefault="003726C2" w:rsidP="003D61FB">
      <w:pPr>
        <w:pStyle w:val="Paragraphedeliste"/>
        <w:numPr>
          <w:ilvl w:val="0"/>
          <w:numId w:val="1"/>
        </w:numPr>
        <w:spacing w:after="160" w:line="259" w:lineRule="auto"/>
        <w:jc w:val="both"/>
        <w:rPr>
          <w:rFonts w:eastAsia="Calibri" w:cs="Arial"/>
          <w:szCs w:val="20"/>
          <w:lang w:eastAsia="en-US"/>
        </w:rPr>
      </w:pPr>
      <w:r w:rsidRPr="003726C2">
        <w:rPr>
          <w:rFonts w:eastAsia="Calibri" w:cs="Arial"/>
          <w:szCs w:val="20"/>
          <w:lang w:eastAsia="en-US"/>
        </w:rPr>
        <w:t>La Région intervient dans les projets pour lesquels l’incitativité de l’aide et l’effet de levier financier sont avérés.</w:t>
      </w:r>
    </w:p>
    <w:p w:rsidR="003D61FB" w:rsidRPr="003D61FB" w:rsidRDefault="003D61FB" w:rsidP="003D61FB">
      <w:pPr>
        <w:pStyle w:val="Paragraphedeliste"/>
        <w:spacing w:after="160" w:line="259" w:lineRule="auto"/>
        <w:jc w:val="both"/>
        <w:rPr>
          <w:rFonts w:eastAsia="Calibri" w:cs="Arial"/>
          <w:szCs w:val="20"/>
          <w:lang w:eastAsia="en-US"/>
        </w:rPr>
      </w:pPr>
    </w:p>
    <w:p w:rsidR="003726C2" w:rsidRPr="003726C2" w:rsidRDefault="003726C2" w:rsidP="003726C2">
      <w:pPr>
        <w:pStyle w:val="Paragraphedeliste"/>
        <w:spacing w:after="160" w:line="259" w:lineRule="auto"/>
        <w:ind w:left="1440"/>
        <w:jc w:val="both"/>
        <w:rPr>
          <w:rFonts w:eastAsia="Calibri" w:cs="Arial"/>
          <w:b/>
          <w:szCs w:val="20"/>
          <w:u w:val="single"/>
          <w:lang w:eastAsia="en-US"/>
        </w:rPr>
      </w:pPr>
      <w:r w:rsidRPr="00BB7F7A">
        <w:rPr>
          <w:rFonts w:eastAsia="Calibri" w:cs="Arial"/>
          <w:b/>
          <w:szCs w:val="20"/>
          <w:u w:val="single"/>
          <w:lang w:eastAsia="en-US"/>
        </w:rPr>
        <w:t>4.2 Exclusions</w:t>
      </w:r>
    </w:p>
    <w:p w:rsidR="00510FA9" w:rsidRPr="00573FBF" w:rsidRDefault="00573FBF" w:rsidP="00A015A1">
      <w:pPr>
        <w:spacing w:after="160" w:line="259" w:lineRule="auto"/>
        <w:jc w:val="both"/>
        <w:rPr>
          <w:rFonts w:eastAsia="Calibri" w:cs="Arial"/>
          <w:szCs w:val="20"/>
          <w:lang w:eastAsia="en-US"/>
        </w:rPr>
      </w:pPr>
      <w:r w:rsidRPr="00573FBF">
        <w:rPr>
          <w:rFonts w:eastAsia="Calibri" w:cs="Arial"/>
          <w:szCs w:val="20"/>
          <w:lang w:eastAsia="en-US"/>
        </w:rPr>
        <w:t>L’entreprise</w:t>
      </w:r>
      <w:r w:rsidR="00BA34B8">
        <w:rPr>
          <w:rFonts w:eastAsia="Calibri" w:cs="Arial"/>
          <w:szCs w:val="20"/>
          <w:lang w:eastAsia="en-US"/>
        </w:rPr>
        <w:t xml:space="preserve"> ne doit pas répondre à la définition européenne de l’entreprise en difficulté (cf annexe)</w:t>
      </w:r>
    </w:p>
    <w:p w:rsidR="00573FBF" w:rsidRPr="00A015A1" w:rsidRDefault="00573FBF" w:rsidP="00573FBF">
      <w:pPr>
        <w:spacing w:after="160" w:line="259" w:lineRule="auto"/>
        <w:jc w:val="both"/>
        <w:rPr>
          <w:rFonts w:eastAsia="Calibri" w:cs="Arial"/>
          <w:szCs w:val="20"/>
          <w:u w:val="single"/>
          <w:lang w:eastAsia="en-US"/>
        </w:rPr>
      </w:pPr>
      <w:r w:rsidRPr="00A015A1">
        <w:rPr>
          <w:rFonts w:eastAsia="Calibri" w:cs="Arial"/>
          <w:szCs w:val="20"/>
          <w:u w:val="single"/>
          <w:lang w:eastAsia="en-US"/>
        </w:rPr>
        <w:t>Secteurs exclus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Commerce et négoce</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Professions réglementées ou assimilées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Activités financières et immobilières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Organismes de formation</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 xml:space="preserve">Secteur primaire agricole </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Secteur primaire de la pêche et de l’aquaculture</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Secteur primaire forestier</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Transport routier de marchandises</w:t>
      </w:r>
    </w:p>
    <w:p w:rsidR="00573FBF" w:rsidRDefault="00573FBF" w:rsidP="00573FBF">
      <w:pPr>
        <w:spacing w:after="160" w:line="259" w:lineRule="auto"/>
        <w:jc w:val="both"/>
        <w:rPr>
          <w:rFonts w:eastAsia="Calibri" w:cs="Arial"/>
          <w:b/>
          <w:szCs w:val="20"/>
          <w:u w:val="single"/>
          <w:lang w:eastAsia="en-US"/>
        </w:rPr>
      </w:pPr>
    </w:p>
    <w:p w:rsidR="00B65069" w:rsidRDefault="00B65069" w:rsidP="00573FBF">
      <w:pPr>
        <w:spacing w:after="160" w:line="259" w:lineRule="auto"/>
        <w:jc w:val="both"/>
        <w:rPr>
          <w:rFonts w:eastAsia="Calibri" w:cs="Arial"/>
          <w:b/>
          <w:szCs w:val="20"/>
          <w:u w:val="single"/>
          <w:lang w:eastAsia="en-US"/>
        </w:rPr>
      </w:pPr>
    </w:p>
    <w:p w:rsidR="00B65069" w:rsidRPr="00573FBF" w:rsidRDefault="00B65069" w:rsidP="00573FBF">
      <w:pPr>
        <w:spacing w:after="160" w:line="259" w:lineRule="auto"/>
        <w:jc w:val="both"/>
        <w:rPr>
          <w:rFonts w:eastAsia="Calibri" w:cs="Arial"/>
          <w:b/>
          <w:szCs w:val="20"/>
          <w:u w:val="single"/>
          <w:lang w:eastAsia="en-US"/>
        </w:rPr>
      </w:pPr>
    </w:p>
    <w:p w:rsidR="00573FBF" w:rsidRPr="00BB7F7A" w:rsidRDefault="003726C2" w:rsidP="00335E03">
      <w:pPr>
        <w:pStyle w:val="Paragraphedeliste"/>
        <w:numPr>
          <w:ilvl w:val="0"/>
          <w:numId w:val="6"/>
        </w:numPr>
        <w:spacing w:after="160" w:line="259" w:lineRule="auto"/>
        <w:jc w:val="both"/>
        <w:rPr>
          <w:rFonts w:eastAsia="Calibri" w:cs="Arial"/>
          <w:b/>
          <w:szCs w:val="20"/>
          <w:u w:val="single"/>
          <w:lang w:eastAsia="en-US"/>
        </w:rPr>
      </w:pPr>
      <w:r w:rsidRPr="00BB7F7A">
        <w:rPr>
          <w:rFonts w:eastAsia="Calibri" w:cs="Arial"/>
          <w:b/>
          <w:szCs w:val="20"/>
          <w:u w:val="single"/>
          <w:lang w:eastAsia="en-US"/>
        </w:rPr>
        <w:lastRenderedPageBreak/>
        <w:t>Modalités d’attribution des aides</w:t>
      </w:r>
    </w:p>
    <w:p w:rsidR="00573FBF" w:rsidRPr="00335E03" w:rsidRDefault="003726C2" w:rsidP="003726C2">
      <w:pPr>
        <w:pStyle w:val="Paragraphedeliste"/>
        <w:spacing w:after="160" w:line="259" w:lineRule="auto"/>
        <w:ind w:left="1440"/>
        <w:jc w:val="both"/>
        <w:rPr>
          <w:rFonts w:eastAsia="Calibri" w:cs="Arial"/>
          <w:b/>
          <w:szCs w:val="20"/>
          <w:u w:val="single"/>
          <w:lang w:eastAsia="en-US"/>
        </w:rPr>
      </w:pPr>
      <w:r w:rsidRPr="00BB7F7A">
        <w:rPr>
          <w:rFonts w:eastAsia="Calibri" w:cs="Arial"/>
          <w:b/>
          <w:szCs w:val="20"/>
          <w:u w:val="single"/>
          <w:lang w:eastAsia="en-US"/>
        </w:rPr>
        <w:t>5.1 Assiette des dépenses</w:t>
      </w:r>
      <w:r w:rsidR="00317FB3" w:rsidRPr="00BB7F7A">
        <w:rPr>
          <w:rFonts w:eastAsia="Calibri" w:cs="Arial"/>
          <w:b/>
          <w:szCs w:val="20"/>
          <w:u w:val="single"/>
          <w:lang w:eastAsia="en-US"/>
        </w:rPr>
        <w:t xml:space="preserve"> éligibles</w:t>
      </w:r>
    </w:p>
    <w:p w:rsidR="00D90D46" w:rsidRDefault="00D90D46" w:rsidP="00D90D46">
      <w:pPr>
        <w:spacing w:after="160" w:line="259" w:lineRule="auto"/>
        <w:contextualSpacing/>
        <w:jc w:val="both"/>
        <w:rPr>
          <w:rFonts w:eastAsia="Calibri" w:cs="Arial"/>
          <w:szCs w:val="20"/>
          <w:highlight w:val="yellow"/>
          <w:lang w:eastAsia="en-US"/>
        </w:rPr>
      </w:pPr>
    </w:p>
    <w:p w:rsidR="00D90D46" w:rsidRPr="00BB7F7A" w:rsidRDefault="00D90D46" w:rsidP="00D90D46">
      <w:pPr>
        <w:numPr>
          <w:ilvl w:val="0"/>
          <w:numId w:val="2"/>
        </w:numPr>
        <w:spacing w:after="160" w:line="259" w:lineRule="auto"/>
        <w:contextualSpacing/>
        <w:jc w:val="both"/>
        <w:rPr>
          <w:rFonts w:eastAsia="Calibri" w:cs="Arial"/>
          <w:b/>
          <w:szCs w:val="20"/>
          <w:lang w:eastAsia="en-US"/>
        </w:rPr>
      </w:pPr>
      <w:r w:rsidRPr="00BB7F7A">
        <w:rPr>
          <w:rFonts w:eastAsia="Calibri" w:cs="Arial"/>
          <w:b/>
          <w:szCs w:val="20"/>
          <w:lang w:eastAsia="en-US"/>
        </w:rPr>
        <w:t>Le coût des investissements productifs </w:t>
      </w:r>
      <w:r w:rsidR="00317FB3" w:rsidRPr="00BB7F7A">
        <w:rPr>
          <w:rFonts w:eastAsia="Calibri" w:cs="Arial"/>
          <w:b/>
          <w:szCs w:val="20"/>
          <w:lang w:eastAsia="en-US"/>
        </w:rPr>
        <w:t>qui induisent</w:t>
      </w:r>
      <w:r w:rsidRPr="00BB7F7A">
        <w:rPr>
          <w:rFonts w:eastAsia="Calibri" w:cs="Arial"/>
          <w:b/>
          <w:szCs w:val="20"/>
          <w:lang w:eastAsia="en-US"/>
        </w:rPr>
        <w:t xml:space="preserve"> un saut technologique pour l’entreprise</w:t>
      </w:r>
      <w:r w:rsidR="00317FB3" w:rsidRPr="00BB7F7A">
        <w:rPr>
          <w:rFonts w:eastAsia="Calibri" w:cs="Arial"/>
          <w:b/>
          <w:szCs w:val="20"/>
          <w:lang w:eastAsia="en-US"/>
        </w:rPr>
        <w:t xml:space="preserve"> (Intégration de robots, développement de la chaîne numérique dans les process, technologies innovantes de fabrication…)</w:t>
      </w:r>
      <w:r w:rsidRPr="00BB7F7A">
        <w:rPr>
          <w:rFonts w:eastAsia="Calibri" w:cs="Arial"/>
          <w:b/>
          <w:szCs w:val="20"/>
          <w:lang w:eastAsia="en-US"/>
        </w:rPr>
        <w:t xml:space="preserve">. </w:t>
      </w:r>
    </w:p>
    <w:p w:rsidR="00317FB3" w:rsidRPr="00BB7F7A" w:rsidRDefault="00317FB3" w:rsidP="00317FB3">
      <w:pPr>
        <w:spacing w:after="160" w:line="259" w:lineRule="auto"/>
        <w:ind w:left="720"/>
        <w:contextualSpacing/>
        <w:jc w:val="both"/>
        <w:rPr>
          <w:rFonts w:eastAsia="Calibri" w:cs="Arial"/>
          <w:b/>
          <w:i/>
          <w:szCs w:val="20"/>
          <w:lang w:eastAsia="en-US"/>
        </w:rPr>
      </w:pPr>
      <w:r w:rsidRPr="00BB7F7A">
        <w:rPr>
          <w:rFonts w:eastAsia="Calibri" w:cs="Arial"/>
          <w:b/>
          <w:i/>
          <w:szCs w:val="20"/>
          <w:lang w:eastAsia="en-US"/>
        </w:rPr>
        <w:t>NB : l’entreprise pourra se référer au guide des technologies de l’Industrie du Futur (</w:t>
      </w:r>
      <w:hyperlink r:id="rId7" w:history="1">
        <w:r w:rsidRPr="00BB7F7A">
          <w:rPr>
            <w:rStyle w:val="Lienhypertexte"/>
            <w:rFonts w:eastAsia="Calibri" w:cs="Arial"/>
            <w:b/>
            <w:i/>
            <w:szCs w:val="20"/>
            <w:lang w:eastAsia="en-US"/>
          </w:rPr>
          <w:t>http://www.referentiel-idf.org</w:t>
        </w:r>
      </w:hyperlink>
      <w:r w:rsidRPr="00BB7F7A">
        <w:rPr>
          <w:rFonts w:eastAsia="Calibri" w:cs="Arial"/>
          <w:b/>
          <w:i/>
          <w:szCs w:val="20"/>
          <w:lang w:eastAsia="en-US"/>
        </w:rPr>
        <w:t>)</w:t>
      </w:r>
    </w:p>
    <w:p w:rsidR="00D90D46" w:rsidRPr="00D55675" w:rsidRDefault="00D90D46" w:rsidP="00D90D46">
      <w:pPr>
        <w:numPr>
          <w:ilvl w:val="0"/>
          <w:numId w:val="2"/>
        </w:numPr>
        <w:spacing w:after="160" w:line="259" w:lineRule="auto"/>
        <w:contextualSpacing/>
        <w:jc w:val="both"/>
        <w:rPr>
          <w:rFonts w:eastAsia="Calibri" w:cs="Arial"/>
          <w:szCs w:val="20"/>
          <w:lang w:eastAsia="en-US"/>
        </w:rPr>
      </w:pPr>
      <w:r w:rsidRPr="00D55675">
        <w:rPr>
          <w:rFonts w:eastAsia="Calibri" w:cs="Arial"/>
          <w:szCs w:val="20"/>
          <w:lang w:eastAsia="en-US"/>
        </w:rPr>
        <w:t>Le coût des investissements incorporels liés directement à l’intégration des nouveaux équipements. Ces investissements incorporels doivent être considérés comme amortissables et doivent rester à l’actif de l’entreprise pendant au moins trois ans.</w:t>
      </w:r>
    </w:p>
    <w:p w:rsidR="00317FB3" w:rsidRPr="00BB7F7A" w:rsidRDefault="00317FB3" w:rsidP="00D90D46">
      <w:pPr>
        <w:numPr>
          <w:ilvl w:val="0"/>
          <w:numId w:val="2"/>
        </w:numPr>
        <w:spacing w:after="160" w:line="259" w:lineRule="auto"/>
        <w:contextualSpacing/>
        <w:jc w:val="both"/>
        <w:rPr>
          <w:rFonts w:eastAsia="Calibri" w:cs="Arial"/>
          <w:b/>
          <w:szCs w:val="20"/>
          <w:lang w:eastAsia="en-US"/>
        </w:rPr>
      </w:pPr>
      <w:r w:rsidRPr="00BB7F7A">
        <w:rPr>
          <w:rFonts w:eastAsia="Calibri" w:cs="Arial"/>
          <w:b/>
          <w:szCs w:val="20"/>
          <w:lang w:eastAsia="en-US"/>
        </w:rPr>
        <w:t>Le matériel devra être acquis neuf. L’acquisition en Crédit-Bail est éligible sous condition d’engagement d’achat par l’entreprise au terme du contrat</w:t>
      </w:r>
      <w:r w:rsidR="00D55675" w:rsidRPr="00BB7F7A">
        <w:rPr>
          <w:rFonts w:eastAsia="Calibri" w:cs="Arial"/>
          <w:b/>
          <w:szCs w:val="20"/>
          <w:lang w:eastAsia="en-US"/>
        </w:rPr>
        <w:t>.</w:t>
      </w:r>
    </w:p>
    <w:p w:rsidR="00D90D46" w:rsidRPr="00BB7F7A" w:rsidRDefault="00D55675" w:rsidP="00D90D46">
      <w:pPr>
        <w:numPr>
          <w:ilvl w:val="0"/>
          <w:numId w:val="2"/>
        </w:numPr>
        <w:spacing w:after="160" w:line="259" w:lineRule="auto"/>
        <w:contextualSpacing/>
        <w:jc w:val="both"/>
        <w:rPr>
          <w:rFonts w:eastAsia="Calibri" w:cs="Arial"/>
          <w:b/>
          <w:szCs w:val="20"/>
          <w:lang w:eastAsia="en-US"/>
        </w:rPr>
      </w:pPr>
      <w:r w:rsidRPr="00BB7F7A">
        <w:rPr>
          <w:rFonts w:eastAsia="Calibri" w:cs="Arial"/>
          <w:b/>
          <w:szCs w:val="20"/>
          <w:lang w:eastAsia="en-US"/>
        </w:rPr>
        <w:t>L</w:t>
      </w:r>
      <w:r w:rsidR="00D90D46" w:rsidRPr="00BB7F7A">
        <w:rPr>
          <w:rFonts w:eastAsia="Calibri" w:cs="Arial"/>
          <w:b/>
          <w:szCs w:val="20"/>
          <w:lang w:eastAsia="en-US"/>
        </w:rPr>
        <w:t>es investissements permettant de réduire l’impact environnemental de l’entreprise ou ayant une performance environnementale démontrée (économie de consommation énergétique ou de matières premières, réduction des effluents…) excluant les mises aux normes obligatoires</w:t>
      </w:r>
      <w:r w:rsidRPr="00BB7F7A">
        <w:rPr>
          <w:rFonts w:eastAsia="Calibri" w:cs="Arial"/>
          <w:b/>
          <w:szCs w:val="20"/>
          <w:lang w:eastAsia="en-US"/>
        </w:rPr>
        <w:t xml:space="preserve"> pourront augmenter l’assiette des dépenses éligibles (cf 5.3)</w:t>
      </w:r>
      <w:r w:rsidR="004B6761" w:rsidRPr="00BB7F7A">
        <w:rPr>
          <w:rFonts w:eastAsia="Calibri" w:cs="Arial"/>
          <w:b/>
          <w:szCs w:val="20"/>
          <w:lang w:eastAsia="en-US"/>
        </w:rPr>
        <w:t xml:space="preserve"> : Bonus vert </w:t>
      </w:r>
    </w:p>
    <w:p w:rsidR="00D55675" w:rsidRPr="00D90D46" w:rsidRDefault="00D55675" w:rsidP="00D55675">
      <w:pPr>
        <w:spacing w:after="160" w:line="259" w:lineRule="auto"/>
        <w:ind w:left="720"/>
        <w:contextualSpacing/>
        <w:jc w:val="both"/>
        <w:rPr>
          <w:rFonts w:eastAsia="Calibri" w:cs="Arial"/>
          <w:szCs w:val="20"/>
          <w:lang w:eastAsia="en-US"/>
        </w:rPr>
      </w:pPr>
    </w:p>
    <w:p w:rsidR="00573FBF" w:rsidRPr="00D55675" w:rsidRDefault="00D90D46" w:rsidP="00573FBF">
      <w:pPr>
        <w:spacing w:after="160" w:line="259" w:lineRule="auto"/>
        <w:jc w:val="both"/>
        <w:rPr>
          <w:rFonts w:eastAsia="Calibri" w:cs="Arial"/>
          <w:szCs w:val="20"/>
          <w:lang w:eastAsia="en-US"/>
        </w:rPr>
      </w:pPr>
      <w:r w:rsidRPr="00D55675">
        <w:rPr>
          <w:rFonts w:eastAsia="Calibri" w:cs="Arial"/>
          <w:szCs w:val="20"/>
          <w:lang w:eastAsia="en-US"/>
        </w:rPr>
        <w:t>Les montants retenus sont hors taxes avants impôts et prélèvements</w:t>
      </w:r>
    </w:p>
    <w:p w:rsidR="00D55675" w:rsidRDefault="00D55675" w:rsidP="00D55675">
      <w:pPr>
        <w:spacing w:after="160" w:line="259" w:lineRule="auto"/>
        <w:jc w:val="both"/>
        <w:rPr>
          <w:rFonts w:eastAsia="Calibri" w:cs="Arial"/>
          <w:szCs w:val="20"/>
          <w:lang w:eastAsia="en-US"/>
        </w:rPr>
      </w:pPr>
      <w:r w:rsidRPr="00D55675">
        <w:rPr>
          <w:rFonts w:eastAsia="Calibri" w:cs="Arial"/>
          <w:szCs w:val="20"/>
          <w:lang w:eastAsia="en-US"/>
        </w:rPr>
        <w:t>Ces coûts sont éligibles dans la limite des coûts admissibles au titre du régime d’aide ou du règlement européen applicable.</w:t>
      </w:r>
    </w:p>
    <w:p w:rsidR="00D55675" w:rsidRDefault="00D55675" w:rsidP="00D55675">
      <w:pPr>
        <w:pStyle w:val="Paragraphedeliste"/>
        <w:spacing w:after="160" w:line="259" w:lineRule="auto"/>
        <w:ind w:left="1440"/>
        <w:jc w:val="both"/>
        <w:rPr>
          <w:rFonts w:eastAsia="Calibri" w:cs="Arial"/>
          <w:b/>
          <w:szCs w:val="20"/>
          <w:u w:val="single"/>
          <w:lang w:eastAsia="en-US"/>
        </w:rPr>
      </w:pPr>
      <w:r>
        <w:rPr>
          <w:rFonts w:eastAsia="Calibri" w:cs="Arial"/>
          <w:szCs w:val="20"/>
          <w:lang w:eastAsia="en-US"/>
        </w:rPr>
        <w:tab/>
      </w:r>
      <w:r w:rsidRPr="00BB7F7A">
        <w:rPr>
          <w:rFonts w:eastAsia="Calibri" w:cs="Arial"/>
          <w:b/>
          <w:szCs w:val="20"/>
          <w:u w:val="single"/>
          <w:lang w:eastAsia="en-US"/>
        </w:rPr>
        <w:t>5.2 Nature des aides</w:t>
      </w:r>
    </w:p>
    <w:p w:rsidR="00D55675" w:rsidRDefault="00D55675" w:rsidP="00D55675">
      <w:pPr>
        <w:spacing w:after="160" w:line="259" w:lineRule="auto"/>
        <w:jc w:val="both"/>
        <w:rPr>
          <w:rFonts w:eastAsia="Calibri" w:cs="Arial"/>
          <w:szCs w:val="20"/>
          <w:lang w:eastAsia="en-US"/>
        </w:rPr>
      </w:pPr>
      <w:r>
        <w:rPr>
          <w:rFonts w:eastAsia="Calibri" w:cs="Arial"/>
          <w:szCs w:val="20"/>
          <w:lang w:eastAsia="en-US"/>
        </w:rPr>
        <w:t xml:space="preserve">Les aides accordées sur le fondement du présent cadre d’intervention peuvent prendre les formes suivantes : </w:t>
      </w:r>
    </w:p>
    <w:p w:rsidR="00D55675" w:rsidRDefault="00D55675" w:rsidP="00D55675">
      <w:pPr>
        <w:pStyle w:val="Paragraphedeliste"/>
        <w:numPr>
          <w:ilvl w:val="2"/>
          <w:numId w:val="7"/>
        </w:numPr>
        <w:spacing w:after="160" w:line="259" w:lineRule="auto"/>
        <w:jc w:val="both"/>
        <w:rPr>
          <w:rFonts w:eastAsia="Calibri" w:cs="Arial"/>
          <w:szCs w:val="20"/>
          <w:lang w:eastAsia="en-US"/>
        </w:rPr>
      </w:pPr>
      <w:r w:rsidRPr="00D55675">
        <w:rPr>
          <w:rFonts w:eastAsia="Calibri" w:cs="Arial"/>
          <w:szCs w:val="20"/>
          <w:lang w:eastAsia="en-US"/>
        </w:rPr>
        <w:t xml:space="preserve">Subvention </w:t>
      </w:r>
    </w:p>
    <w:p w:rsidR="00D55675" w:rsidRDefault="00D55675" w:rsidP="00D55675">
      <w:pPr>
        <w:pStyle w:val="Paragraphedeliste"/>
        <w:numPr>
          <w:ilvl w:val="2"/>
          <w:numId w:val="7"/>
        </w:numPr>
        <w:spacing w:after="160" w:line="259" w:lineRule="auto"/>
        <w:jc w:val="both"/>
        <w:rPr>
          <w:rFonts w:eastAsia="Calibri" w:cs="Arial"/>
          <w:szCs w:val="20"/>
          <w:lang w:eastAsia="en-US"/>
        </w:rPr>
      </w:pPr>
      <w:r w:rsidRPr="00D55675">
        <w:rPr>
          <w:rFonts w:eastAsia="Calibri" w:cs="Arial"/>
          <w:szCs w:val="20"/>
          <w:lang w:eastAsia="en-US"/>
        </w:rPr>
        <w:t xml:space="preserve">Avance remboursable </w:t>
      </w:r>
    </w:p>
    <w:p w:rsidR="00D55675" w:rsidRPr="00D55675" w:rsidRDefault="00D55675" w:rsidP="00D55675">
      <w:pPr>
        <w:pStyle w:val="Paragraphedeliste"/>
        <w:spacing w:after="160" w:line="259" w:lineRule="auto"/>
        <w:ind w:left="2160"/>
        <w:jc w:val="both"/>
        <w:rPr>
          <w:rFonts w:eastAsia="Calibri" w:cs="Arial"/>
          <w:b/>
          <w:szCs w:val="20"/>
          <w:highlight w:val="yellow"/>
          <w:u w:val="single"/>
          <w:lang w:eastAsia="en-US"/>
        </w:rPr>
      </w:pPr>
    </w:p>
    <w:p w:rsidR="00D55675" w:rsidRDefault="00D55675" w:rsidP="00D55675">
      <w:pPr>
        <w:pStyle w:val="Paragraphedeliste"/>
        <w:spacing w:after="160" w:line="259" w:lineRule="auto"/>
        <w:ind w:left="2160"/>
        <w:jc w:val="both"/>
        <w:rPr>
          <w:rFonts w:eastAsia="Calibri" w:cs="Arial"/>
          <w:b/>
          <w:szCs w:val="20"/>
          <w:u w:val="single"/>
          <w:lang w:eastAsia="en-US"/>
        </w:rPr>
      </w:pPr>
      <w:r w:rsidRPr="00BB7F7A">
        <w:rPr>
          <w:rFonts w:eastAsia="Calibri" w:cs="Arial"/>
          <w:b/>
          <w:szCs w:val="20"/>
          <w:u w:val="single"/>
          <w:lang w:eastAsia="en-US"/>
        </w:rPr>
        <w:t>5.3 Montants et intensité des aides</w:t>
      </w:r>
    </w:p>
    <w:p w:rsidR="004B6761" w:rsidRDefault="004B6761" w:rsidP="00D55675">
      <w:pPr>
        <w:pStyle w:val="Paragraphedeliste"/>
        <w:spacing w:after="160" w:line="259" w:lineRule="auto"/>
        <w:ind w:left="2160"/>
        <w:jc w:val="both"/>
        <w:rPr>
          <w:rFonts w:eastAsia="Calibri" w:cs="Arial"/>
          <w:szCs w:val="20"/>
          <w:lang w:eastAsia="en-US"/>
        </w:rPr>
      </w:pPr>
    </w:p>
    <w:p w:rsidR="00D55675" w:rsidRPr="00BB7F7A" w:rsidRDefault="00D55675" w:rsidP="00D55675">
      <w:pPr>
        <w:pStyle w:val="Paragraphedeliste"/>
        <w:numPr>
          <w:ilvl w:val="0"/>
          <w:numId w:val="8"/>
        </w:numPr>
        <w:spacing w:after="160" w:line="259" w:lineRule="auto"/>
        <w:jc w:val="both"/>
        <w:rPr>
          <w:rFonts w:eastAsia="Calibri" w:cs="Arial"/>
          <w:b/>
          <w:szCs w:val="20"/>
          <w:lang w:eastAsia="en-US"/>
        </w:rPr>
      </w:pPr>
      <w:r w:rsidRPr="00BB7F7A">
        <w:rPr>
          <w:rFonts w:eastAsia="Calibri" w:cs="Arial"/>
          <w:b/>
          <w:szCs w:val="20"/>
          <w:lang w:eastAsia="en-US"/>
        </w:rPr>
        <w:t>Pour les PME au sens européen (cf</w:t>
      </w:r>
      <w:r w:rsidR="00C465A7" w:rsidRPr="00BB7F7A">
        <w:rPr>
          <w:rFonts w:eastAsia="Calibri" w:cs="Arial"/>
          <w:b/>
          <w:szCs w:val="20"/>
          <w:lang w:eastAsia="en-US"/>
        </w:rPr>
        <w:t xml:space="preserve"> </w:t>
      </w:r>
      <w:r w:rsidRPr="00BB7F7A">
        <w:rPr>
          <w:rFonts w:eastAsia="Calibri" w:cs="Arial"/>
          <w:b/>
          <w:szCs w:val="20"/>
          <w:lang w:eastAsia="en-US"/>
        </w:rPr>
        <w:t xml:space="preserve">définition en annexe) </w:t>
      </w:r>
    </w:p>
    <w:p w:rsidR="00D55675" w:rsidRPr="00BB7F7A" w:rsidRDefault="00D55675" w:rsidP="00D55675">
      <w:pPr>
        <w:spacing w:line="259" w:lineRule="auto"/>
        <w:jc w:val="both"/>
        <w:rPr>
          <w:rFonts w:eastAsia="Calibri" w:cs="Arial"/>
          <w:b/>
          <w:szCs w:val="20"/>
          <w:lang w:eastAsia="en-US"/>
        </w:rPr>
      </w:pPr>
      <w:r w:rsidRPr="00BB7F7A">
        <w:rPr>
          <w:rFonts w:eastAsia="Calibri" w:cs="Arial"/>
          <w:b/>
          <w:szCs w:val="20"/>
          <w:lang w:eastAsia="en-US"/>
        </w:rPr>
        <w:t xml:space="preserve">L’aide régionale prend la forme d’une subvention </w:t>
      </w:r>
      <w:r w:rsidR="004B6761" w:rsidRPr="00BB7F7A">
        <w:rPr>
          <w:rFonts w:eastAsia="Calibri" w:cs="Arial"/>
          <w:b/>
          <w:szCs w:val="20"/>
          <w:lang w:eastAsia="en-US"/>
        </w:rPr>
        <w:t xml:space="preserve">de </w:t>
      </w:r>
      <w:r w:rsidR="00C465A7" w:rsidRPr="00BB7F7A">
        <w:rPr>
          <w:rFonts w:eastAsia="Calibri" w:cs="Arial"/>
          <w:b/>
          <w:szCs w:val="20"/>
          <w:lang w:eastAsia="en-US"/>
        </w:rPr>
        <w:t xml:space="preserve"> 20% </w:t>
      </w:r>
      <w:r w:rsidR="004B6761" w:rsidRPr="00BB7F7A">
        <w:rPr>
          <w:rFonts w:eastAsia="Calibri" w:cs="Arial"/>
          <w:b/>
          <w:szCs w:val="20"/>
          <w:lang w:eastAsia="en-US"/>
        </w:rPr>
        <w:t xml:space="preserve">maximum des investissements éligibles </w:t>
      </w:r>
    </w:p>
    <w:p w:rsidR="004B6761" w:rsidRDefault="004B6761" w:rsidP="00D55675">
      <w:pPr>
        <w:spacing w:line="259" w:lineRule="auto"/>
        <w:jc w:val="both"/>
        <w:rPr>
          <w:rFonts w:eastAsia="Calibri" w:cs="Arial"/>
          <w:szCs w:val="20"/>
          <w:highlight w:val="yellow"/>
          <w:lang w:eastAsia="en-US"/>
        </w:rPr>
      </w:pPr>
    </w:p>
    <w:p w:rsidR="00C465A7" w:rsidRDefault="00C465A7" w:rsidP="00C465A7">
      <w:pPr>
        <w:numPr>
          <w:ilvl w:val="0"/>
          <w:numId w:val="2"/>
        </w:numPr>
        <w:spacing w:after="160" w:line="259" w:lineRule="auto"/>
        <w:contextualSpacing/>
        <w:jc w:val="both"/>
        <w:rPr>
          <w:rFonts w:eastAsia="Calibri" w:cs="Arial"/>
          <w:szCs w:val="20"/>
          <w:lang w:eastAsia="en-US"/>
        </w:rPr>
      </w:pPr>
      <w:r w:rsidRPr="00BB7F7A">
        <w:rPr>
          <w:rFonts w:eastAsia="Calibri" w:cs="Arial"/>
          <w:szCs w:val="20"/>
          <w:lang w:eastAsia="en-US"/>
        </w:rPr>
        <w:t>Montant</w:t>
      </w:r>
      <w:r>
        <w:rPr>
          <w:rFonts w:eastAsia="Calibri" w:cs="Arial"/>
          <w:szCs w:val="20"/>
          <w:lang w:eastAsia="en-US"/>
        </w:rPr>
        <w:t xml:space="preserve"> investissement </w:t>
      </w:r>
      <w:r w:rsidR="004B6761">
        <w:rPr>
          <w:rFonts w:eastAsia="Calibri" w:cs="Arial"/>
          <w:szCs w:val="20"/>
          <w:lang w:eastAsia="en-US"/>
        </w:rPr>
        <w:t>minimal 100 000€</w:t>
      </w:r>
    </w:p>
    <w:p w:rsidR="004B6761" w:rsidRPr="00BB7F7A" w:rsidRDefault="004B6761" w:rsidP="004B6761">
      <w:pPr>
        <w:numPr>
          <w:ilvl w:val="0"/>
          <w:numId w:val="2"/>
        </w:numPr>
        <w:spacing w:after="160" w:line="259" w:lineRule="auto"/>
        <w:contextualSpacing/>
        <w:jc w:val="both"/>
        <w:rPr>
          <w:rFonts w:eastAsia="Calibri" w:cs="Arial"/>
          <w:b/>
          <w:szCs w:val="20"/>
          <w:lang w:eastAsia="en-US"/>
        </w:rPr>
      </w:pPr>
      <w:r w:rsidRPr="00BB7F7A">
        <w:rPr>
          <w:rFonts w:eastAsia="Calibri" w:cs="Arial"/>
          <w:b/>
          <w:szCs w:val="20"/>
          <w:lang w:eastAsia="en-US"/>
        </w:rPr>
        <w:t>Montant investissement maximal 500 000€ porté à 750 000€ pour les investissements à haute performance environnementale (Bonus Vert)</w:t>
      </w:r>
    </w:p>
    <w:p w:rsidR="004B6761" w:rsidRPr="004B6761" w:rsidRDefault="004B6761" w:rsidP="004B6761">
      <w:pPr>
        <w:pStyle w:val="Paragraphedeliste"/>
        <w:numPr>
          <w:ilvl w:val="0"/>
          <w:numId w:val="2"/>
        </w:numPr>
        <w:spacing w:after="160" w:line="259" w:lineRule="auto"/>
        <w:jc w:val="both"/>
        <w:rPr>
          <w:rFonts w:eastAsia="Calibri" w:cs="Arial"/>
          <w:szCs w:val="20"/>
          <w:lang w:eastAsia="en-US"/>
        </w:rPr>
      </w:pPr>
      <w:r w:rsidRPr="004B6761">
        <w:rPr>
          <w:rFonts w:eastAsia="Calibri" w:cs="Arial"/>
          <w:szCs w:val="20"/>
          <w:lang w:eastAsia="en-US"/>
        </w:rPr>
        <w:t>Une bonification supplémentaire sous forme de subvention pourra être accordée si le projet induit des créations d’emplois en CDI.</w:t>
      </w:r>
      <w:r>
        <w:rPr>
          <w:rFonts w:eastAsia="Calibri" w:cs="Arial"/>
          <w:szCs w:val="20"/>
          <w:lang w:eastAsia="en-US"/>
        </w:rPr>
        <w:t xml:space="preserve"> </w:t>
      </w:r>
      <w:r w:rsidRPr="004B6761">
        <w:rPr>
          <w:rFonts w:eastAsia="Calibri" w:cs="Arial"/>
          <w:szCs w:val="20"/>
          <w:lang w:eastAsia="en-US"/>
        </w:rPr>
        <w:t>Le montant de la bonification s’</w:t>
      </w:r>
      <w:r>
        <w:rPr>
          <w:rFonts w:eastAsia="Calibri" w:cs="Arial"/>
          <w:szCs w:val="20"/>
          <w:lang w:eastAsia="en-US"/>
        </w:rPr>
        <w:t xml:space="preserve">élève à 2 000 € par emploi créé dans la limite de 25 emplois soit 50 000€ de subvention. </w:t>
      </w:r>
    </w:p>
    <w:p w:rsidR="004B6761" w:rsidRPr="004B6761" w:rsidRDefault="004B6761" w:rsidP="004B6761">
      <w:pPr>
        <w:pStyle w:val="Paragraphedeliste"/>
        <w:spacing w:after="160" w:line="259" w:lineRule="auto"/>
        <w:jc w:val="both"/>
        <w:rPr>
          <w:rFonts w:eastAsia="Calibri" w:cs="Arial"/>
          <w:szCs w:val="20"/>
          <w:lang w:eastAsia="en-US"/>
        </w:rPr>
      </w:pPr>
      <w:r w:rsidRPr="004B6761">
        <w:rPr>
          <w:rFonts w:eastAsia="Calibri" w:cs="Arial"/>
          <w:szCs w:val="20"/>
          <w:lang w:eastAsia="en-US"/>
        </w:rPr>
        <w:t>Les emplois retenus sont les CDI ETP hors période d’essai, créés en lien direct avec le projet</w:t>
      </w:r>
      <w:r w:rsidR="0042305B">
        <w:rPr>
          <w:rFonts w:eastAsia="Calibri" w:cs="Arial"/>
          <w:szCs w:val="20"/>
          <w:lang w:eastAsia="en-US"/>
        </w:rPr>
        <w:t>.</w:t>
      </w:r>
    </w:p>
    <w:p w:rsidR="00D55675" w:rsidRPr="00BB7F7A" w:rsidRDefault="00FF49BC" w:rsidP="00D55675">
      <w:pPr>
        <w:spacing w:after="160" w:line="259" w:lineRule="auto"/>
        <w:jc w:val="both"/>
        <w:rPr>
          <w:rFonts w:eastAsia="Calibri" w:cs="Arial"/>
          <w:b/>
          <w:szCs w:val="20"/>
          <w:lang w:eastAsia="en-US"/>
        </w:rPr>
      </w:pPr>
      <w:r w:rsidRPr="00BB7F7A">
        <w:rPr>
          <w:rFonts w:eastAsia="Calibri" w:cs="Arial"/>
          <w:b/>
          <w:szCs w:val="20"/>
          <w:lang w:eastAsia="en-US"/>
        </w:rPr>
        <w:t xml:space="preserve">Dans </w:t>
      </w:r>
      <w:r w:rsidR="00D55675" w:rsidRPr="00BB7F7A">
        <w:rPr>
          <w:rFonts w:eastAsia="Calibri" w:cs="Arial"/>
          <w:b/>
          <w:szCs w:val="20"/>
          <w:lang w:eastAsia="en-US"/>
        </w:rPr>
        <w:t>la limite du montant et de l’intensité d’aide maximum autorisé au titre du régime d’aide ou du règlement européen appl</w:t>
      </w:r>
      <w:r w:rsidR="00E705FF" w:rsidRPr="00BB7F7A">
        <w:rPr>
          <w:rFonts w:eastAsia="Calibri" w:cs="Arial"/>
          <w:b/>
          <w:szCs w:val="20"/>
          <w:lang w:eastAsia="en-US"/>
        </w:rPr>
        <w:t>icable.</w:t>
      </w:r>
    </w:p>
    <w:p w:rsidR="00D55675" w:rsidRPr="004B6761" w:rsidRDefault="004B6761" w:rsidP="004B6761">
      <w:pPr>
        <w:pStyle w:val="Paragraphedeliste"/>
        <w:numPr>
          <w:ilvl w:val="0"/>
          <w:numId w:val="8"/>
        </w:numPr>
        <w:spacing w:after="160" w:line="259" w:lineRule="auto"/>
        <w:jc w:val="both"/>
        <w:rPr>
          <w:rFonts w:eastAsia="Calibri" w:cs="Arial"/>
          <w:b/>
          <w:szCs w:val="20"/>
          <w:lang w:eastAsia="en-US"/>
        </w:rPr>
      </w:pPr>
      <w:r w:rsidRPr="004B6761">
        <w:rPr>
          <w:rFonts w:eastAsia="Calibri" w:cs="Arial"/>
          <w:b/>
          <w:szCs w:val="20"/>
          <w:lang w:eastAsia="en-US"/>
        </w:rPr>
        <w:t xml:space="preserve">Pour </w:t>
      </w:r>
      <w:r w:rsidRPr="00BB7F7A">
        <w:rPr>
          <w:rFonts w:eastAsia="Calibri" w:cs="Arial"/>
          <w:b/>
          <w:szCs w:val="20"/>
          <w:lang w:eastAsia="en-US"/>
        </w:rPr>
        <w:t>les ETI</w:t>
      </w:r>
      <w:r w:rsidRPr="004B6761">
        <w:rPr>
          <w:rFonts w:eastAsia="Calibri" w:cs="Arial"/>
          <w:b/>
          <w:szCs w:val="20"/>
          <w:lang w:eastAsia="en-US"/>
        </w:rPr>
        <w:t xml:space="preserve"> </w:t>
      </w:r>
      <w:r>
        <w:rPr>
          <w:rFonts w:eastAsia="Calibri" w:cs="Arial"/>
          <w:b/>
          <w:szCs w:val="20"/>
          <w:lang w:eastAsia="en-US"/>
        </w:rPr>
        <w:t>(entreprise de moins de 2000 salariés)</w:t>
      </w:r>
    </w:p>
    <w:p w:rsidR="0044073D" w:rsidRDefault="004B6761" w:rsidP="00D55675">
      <w:pPr>
        <w:spacing w:after="160" w:line="259" w:lineRule="auto"/>
        <w:contextualSpacing/>
        <w:jc w:val="both"/>
        <w:rPr>
          <w:rFonts w:eastAsia="Calibri" w:cs="Arial"/>
          <w:szCs w:val="20"/>
          <w:lang w:eastAsia="en-US"/>
        </w:rPr>
      </w:pPr>
      <w:r>
        <w:rPr>
          <w:rFonts w:eastAsia="Calibri" w:cs="Arial"/>
          <w:szCs w:val="20"/>
          <w:lang w:eastAsia="en-US"/>
        </w:rPr>
        <w:t>L’aide régionale prend la forme d’</w:t>
      </w:r>
      <w:r w:rsidR="0044073D">
        <w:rPr>
          <w:rFonts w:eastAsia="Calibri" w:cs="Arial"/>
          <w:szCs w:val="20"/>
          <w:lang w:eastAsia="en-US"/>
        </w:rPr>
        <w:t xml:space="preserve">une avance remboursable de 33% </w:t>
      </w:r>
      <w:r w:rsidR="0044073D" w:rsidRPr="0044073D">
        <w:rPr>
          <w:rFonts w:eastAsia="Calibri" w:cs="Arial"/>
          <w:szCs w:val="20"/>
          <w:lang w:eastAsia="en-US"/>
        </w:rPr>
        <w:t>à taux de 0% sur une durée de 7 ans dont 2 ans de différé</w:t>
      </w:r>
      <w:r w:rsidR="0044073D">
        <w:rPr>
          <w:rFonts w:eastAsia="Calibri" w:cs="Arial"/>
          <w:szCs w:val="20"/>
          <w:lang w:eastAsia="en-US"/>
        </w:rPr>
        <w:t xml:space="preserve"> </w:t>
      </w:r>
      <w:r w:rsidR="0044073D" w:rsidRPr="0044073D">
        <w:rPr>
          <w:rFonts w:eastAsia="Calibri" w:cs="Arial"/>
          <w:szCs w:val="20"/>
          <w:lang w:eastAsia="en-US"/>
        </w:rPr>
        <w:t>des investissements éligibles dans la limite des plafonds suivants :</w:t>
      </w:r>
      <w:r w:rsidR="0044073D">
        <w:rPr>
          <w:rFonts w:eastAsia="Calibri" w:cs="Arial"/>
          <w:szCs w:val="20"/>
          <w:lang w:eastAsia="en-US"/>
        </w:rPr>
        <w:t xml:space="preserve"> </w:t>
      </w:r>
    </w:p>
    <w:p w:rsidR="0044073D" w:rsidRDefault="0044073D" w:rsidP="0044073D">
      <w:pPr>
        <w:numPr>
          <w:ilvl w:val="0"/>
          <w:numId w:val="2"/>
        </w:numPr>
        <w:spacing w:after="160" w:line="259" w:lineRule="auto"/>
        <w:contextualSpacing/>
        <w:jc w:val="both"/>
        <w:rPr>
          <w:rFonts w:eastAsia="Calibri" w:cs="Arial"/>
          <w:szCs w:val="20"/>
          <w:lang w:eastAsia="en-US"/>
        </w:rPr>
      </w:pPr>
      <w:r w:rsidRPr="00BB7F7A">
        <w:rPr>
          <w:rFonts w:eastAsia="Calibri" w:cs="Arial"/>
          <w:szCs w:val="20"/>
          <w:lang w:eastAsia="en-US"/>
        </w:rPr>
        <w:t>Montant</w:t>
      </w:r>
      <w:r>
        <w:rPr>
          <w:rFonts w:eastAsia="Calibri" w:cs="Arial"/>
          <w:szCs w:val="20"/>
          <w:lang w:eastAsia="en-US"/>
        </w:rPr>
        <w:t xml:space="preserve"> investissement minimal 100 000€</w:t>
      </w:r>
    </w:p>
    <w:p w:rsidR="0044073D" w:rsidRPr="00BB7F7A" w:rsidRDefault="0044073D" w:rsidP="0044073D">
      <w:pPr>
        <w:numPr>
          <w:ilvl w:val="0"/>
          <w:numId w:val="2"/>
        </w:numPr>
        <w:spacing w:after="160" w:line="259" w:lineRule="auto"/>
        <w:contextualSpacing/>
        <w:jc w:val="both"/>
        <w:rPr>
          <w:rFonts w:eastAsia="Calibri" w:cs="Arial"/>
          <w:b/>
          <w:szCs w:val="20"/>
          <w:lang w:eastAsia="en-US"/>
        </w:rPr>
      </w:pPr>
      <w:r w:rsidRPr="00BB7F7A">
        <w:rPr>
          <w:rFonts w:eastAsia="Calibri" w:cs="Arial"/>
          <w:b/>
          <w:szCs w:val="20"/>
          <w:lang w:eastAsia="en-US"/>
        </w:rPr>
        <w:t>Montant investissement maximal 500 000€ porté à 750 000€ pour les investissements à haute performance environnementale (Bonus Vert)</w:t>
      </w:r>
    </w:p>
    <w:p w:rsidR="0044073D" w:rsidRPr="00BB7F7A" w:rsidRDefault="0044073D" w:rsidP="0044073D">
      <w:pPr>
        <w:spacing w:after="160" w:line="259" w:lineRule="auto"/>
        <w:ind w:left="360"/>
        <w:contextualSpacing/>
        <w:jc w:val="both"/>
        <w:rPr>
          <w:rFonts w:eastAsia="Calibri" w:cs="Arial"/>
          <w:b/>
          <w:szCs w:val="20"/>
          <w:lang w:eastAsia="en-US"/>
        </w:rPr>
      </w:pPr>
    </w:p>
    <w:p w:rsidR="0044073D" w:rsidRPr="00E705FF" w:rsidRDefault="0044073D" w:rsidP="0044073D">
      <w:pPr>
        <w:pStyle w:val="Paragraphedeliste"/>
        <w:spacing w:after="160" w:line="259" w:lineRule="auto"/>
        <w:ind w:left="2160"/>
        <w:jc w:val="both"/>
        <w:rPr>
          <w:rFonts w:eastAsia="Calibri" w:cs="Arial"/>
          <w:b/>
          <w:szCs w:val="20"/>
          <w:u w:val="single"/>
          <w:lang w:eastAsia="en-US"/>
        </w:rPr>
      </w:pPr>
      <w:r w:rsidRPr="00E705FF">
        <w:rPr>
          <w:rFonts w:eastAsia="Calibri" w:cs="Arial"/>
          <w:b/>
          <w:szCs w:val="20"/>
          <w:u w:val="single"/>
          <w:lang w:eastAsia="en-US"/>
        </w:rPr>
        <w:t xml:space="preserve">5.4 Versement des aides </w:t>
      </w:r>
    </w:p>
    <w:p w:rsidR="0044073D" w:rsidRPr="00E705FF" w:rsidRDefault="0044073D" w:rsidP="0044073D">
      <w:pPr>
        <w:numPr>
          <w:ilvl w:val="0"/>
          <w:numId w:val="2"/>
        </w:numPr>
        <w:spacing w:after="160" w:line="259" w:lineRule="auto"/>
        <w:contextualSpacing/>
        <w:jc w:val="both"/>
        <w:rPr>
          <w:rFonts w:eastAsia="Calibri" w:cs="Arial"/>
          <w:szCs w:val="20"/>
          <w:lang w:eastAsia="en-US"/>
        </w:rPr>
      </w:pPr>
      <w:r w:rsidRPr="00E705FF">
        <w:rPr>
          <w:rFonts w:eastAsia="Calibri" w:cs="Arial"/>
          <w:szCs w:val="20"/>
          <w:lang w:eastAsia="en-US"/>
        </w:rPr>
        <w:t>Aide sous forme de subvention : l’aide pourra être versée en plusieurs tranches en</w:t>
      </w:r>
      <w:r w:rsidR="0042305B">
        <w:rPr>
          <w:rFonts w:eastAsia="Calibri" w:cs="Arial"/>
          <w:szCs w:val="20"/>
          <w:lang w:eastAsia="en-US"/>
        </w:rPr>
        <w:t xml:space="preserve"> </w:t>
      </w:r>
      <w:r w:rsidRPr="00E705FF">
        <w:rPr>
          <w:rFonts w:eastAsia="Calibri" w:cs="Arial"/>
          <w:szCs w:val="20"/>
          <w:lang w:eastAsia="en-US"/>
        </w:rPr>
        <w:t>fonct</w:t>
      </w:r>
      <w:r w:rsidR="00B41B09">
        <w:rPr>
          <w:rFonts w:eastAsia="Calibri" w:cs="Arial"/>
          <w:szCs w:val="20"/>
          <w:lang w:eastAsia="en-US"/>
        </w:rPr>
        <w:t>ion de la réalisation du projet.</w:t>
      </w:r>
    </w:p>
    <w:p w:rsidR="0044073D" w:rsidRDefault="0044073D" w:rsidP="0044073D">
      <w:pPr>
        <w:numPr>
          <w:ilvl w:val="0"/>
          <w:numId w:val="2"/>
        </w:numPr>
        <w:spacing w:after="160" w:line="259" w:lineRule="auto"/>
        <w:contextualSpacing/>
        <w:jc w:val="both"/>
        <w:rPr>
          <w:rFonts w:eastAsia="Calibri" w:cs="Arial"/>
          <w:szCs w:val="20"/>
          <w:lang w:eastAsia="en-US"/>
        </w:rPr>
      </w:pPr>
      <w:r w:rsidRPr="00E705FF">
        <w:rPr>
          <w:rFonts w:eastAsia="Calibri" w:cs="Arial"/>
          <w:szCs w:val="20"/>
          <w:lang w:eastAsia="en-US"/>
        </w:rPr>
        <w:t xml:space="preserve">Aide sous forme d’avance remboursable : </w:t>
      </w:r>
      <w:r w:rsidR="00B41B09">
        <w:rPr>
          <w:rFonts w:eastAsia="Calibri" w:cs="Arial"/>
          <w:szCs w:val="20"/>
          <w:lang w:eastAsia="en-US"/>
        </w:rPr>
        <w:t>l</w:t>
      </w:r>
      <w:r>
        <w:rPr>
          <w:rFonts w:eastAsia="Calibri" w:cs="Arial"/>
          <w:szCs w:val="20"/>
          <w:lang w:eastAsia="en-US"/>
        </w:rPr>
        <w:t>’avance sera débloquée en une seule tranche.</w:t>
      </w:r>
    </w:p>
    <w:p w:rsidR="00E16271" w:rsidRDefault="00E16271" w:rsidP="00E705FF">
      <w:pPr>
        <w:pStyle w:val="Paragraphedeliste"/>
        <w:spacing w:after="160" w:line="259" w:lineRule="auto"/>
        <w:ind w:left="2160"/>
        <w:jc w:val="both"/>
        <w:rPr>
          <w:rFonts w:eastAsia="Calibri" w:cs="Arial"/>
          <w:b/>
          <w:szCs w:val="20"/>
          <w:u w:val="single"/>
          <w:lang w:eastAsia="en-US"/>
        </w:rPr>
      </w:pPr>
    </w:p>
    <w:p w:rsidR="00573FBF" w:rsidRPr="00E705FF" w:rsidRDefault="0063533F" w:rsidP="00E705FF">
      <w:pPr>
        <w:pStyle w:val="Paragraphedeliste"/>
        <w:spacing w:after="160" w:line="259" w:lineRule="auto"/>
        <w:ind w:left="2160"/>
        <w:jc w:val="both"/>
        <w:rPr>
          <w:rFonts w:eastAsia="Calibri" w:cs="Arial"/>
          <w:b/>
          <w:szCs w:val="20"/>
          <w:highlight w:val="yellow"/>
          <w:u w:val="single"/>
          <w:lang w:eastAsia="en-US"/>
        </w:rPr>
      </w:pPr>
      <w:r w:rsidRPr="00E705FF">
        <w:rPr>
          <w:rFonts w:eastAsia="Calibri" w:cs="Arial"/>
          <w:b/>
          <w:szCs w:val="20"/>
          <w:u w:val="single"/>
          <w:lang w:eastAsia="en-US"/>
        </w:rPr>
        <w:t xml:space="preserve">5.5 </w:t>
      </w:r>
      <w:r w:rsidR="00573FBF" w:rsidRPr="00E705FF">
        <w:rPr>
          <w:rFonts w:eastAsia="Calibri" w:cs="Arial"/>
          <w:b/>
          <w:szCs w:val="20"/>
          <w:u w:val="single"/>
          <w:lang w:eastAsia="en-US"/>
        </w:rPr>
        <w:t>Participations des communes et Etablissements Publics de Coopération Intercommunale (EPCI)</w:t>
      </w:r>
    </w:p>
    <w:p w:rsidR="00573FBF" w:rsidRPr="00573FBF" w:rsidRDefault="00573FBF" w:rsidP="00573FBF">
      <w:pPr>
        <w:jc w:val="both"/>
        <w:rPr>
          <w:rFonts w:cs="Arial"/>
          <w:szCs w:val="20"/>
        </w:rPr>
      </w:pPr>
    </w:p>
    <w:p w:rsidR="00573FBF" w:rsidRPr="00573FBF" w:rsidRDefault="00573FBF" w:rsidP="00573FBF">
      <w:pPr>
        <w:jc w:val="both"/>
        <w:rPr>
          <w:rFonts w:cs="Arial"/>
          <w:szCs w:val="20"/>
        </w:rPr>
      </w:pPr>
      <w:r w:rsidRPr="00573FBF">
        <w:rPr>
          <w:rFonts w:cs="Arial"/>
          <w:szCs w:val="20"/>
        </w:rPr>
        <w:t>Les communes et EPCI qui le souhaitent pourront participer au financement de ce dispositif d’aide.</w:t>
      </w:r>
    </w:p>
    <w:p w:rsidR="00573FBF" w:rsidRPr="00573FBF" w:rsidRDefault="00573FBF" w:rsidP="00573FBF">
      <w:pPr>
        <w:jc w:val="both"/>
        <w:rPr>
          <w:rFonts w:cs="Arial"/>
          <w:szCs w:val="20"/>
        </w:rPr>
      </w:pPr>
      <w:r w:rsidRPr="00573FBF">
        <w:rPr>
          <w:rFonts w:cs="Arial"/>
          <w:szCs w:val="20"/>
        </w:rPr>
        <w:t>Les modalités de cette participation seront définies par une convention entre la Région et la commune ou l’EPCI.</w:t>
      </w:r>
    </w:p>
    <w:p w:rsidR="00573FBF" w:rsidRPr="00573FBF" w:rsidRDefault="00573FBF" w:rsidP="00573FBF">
      <w:pPr>
        <w:rPr>
          <w:rFonts w:cs="Arial"/>
          <w:szCs w:val="20"/>
        </w:rPr>
      </w:pPr>
    </w:p>
    <w:p w:rsidR="00E705FF" w:rsidRPr="00BB7F7A" w:rsidRDefault="00E705FF" w:rsidP="00E705FF">
      <w:pPr>
        <w:pStyle w:val="Paragraphedeliste"/>
        <w:numPr>
          <w:ilvl w:val="0"/>
          <w:numId w:val="6"/>
        </w:numPr>
        <w:spacing w:after="160" w:line="259" w:lineRule="auto"/>
        <w:jc w:val="both"/>
        <w:rPr>
          <w:rFonts w:eastAsia="Calibri" w:cs="Arial"/>
          <w:b/>
          <w:szCs w:val="20"/>
          <w:u w:val="single"/>
          <w:lang w:eastAsia="en-US"/>
        </w:rPr>
      </w:pPr>
      <w:r w:rsidRPr="00BB7F7A">
        <w:rPr>
          <w:rFonts w:eastAsia="Calibri" w:cs="Arial"/>
          <w:b/>
          <w:szCs w:val="20"/>
          <w:u w:val="single"/>
          <w:lang w:eastAsia="en-US"/>
        </w:rPr>
        <w:t>Instruction de la demande</w:t>
      </w:r>
    </w:p>
    <w:p w:rsidR="00E705FF" w:rsidRDefault="00E705FF" w:rsidP="00573FBF">
      <w:pPr>
        <w:rPr>
          <w:rFonts w:cs="Arial"/>
          <w:szCs w:val="20"/>
        </w:rPr>
      </w:pPr>
      <w:r>
        <w:rPr>
          <w:rFonts w:cs="Arial"/>
          <w:szCs w:val="20"/>
        </w:rPr>
        <w:t xml:space="preserve">Toute demande d’aide doit faire l’objet du dépôt d’un dossier unique de demande d’accompagnement dûment renseigné adressé à M. Le Président du Conseil régional. </w:t>
      </w:r>
    </w:p>
    <w:p w:rsidR="00E705FF" w:rsidRDefault="00E705FF" w:rsidP="00573FBF">
      <w:pPr>
        <w:rPr>
          <w:rFonts w:cs="Arial"/>
          <w:szCs w:val="20"/>
        </w:rPr>
      </w:pPr>
      <w:r>
        <w:rPr>
          <w:rFonts w:cs="Arial"/>
          <w:szCs w:val="20"/>
        </w:rPr>
        <w:t xml:space="preserve">Dans ce cadre, la région veillera au respect du caractère incitatif de l’aide. </w:t>
      </w:r>
    </w:p>
    <w:p w:rsidR="00E705FF" w:rsidRDefault="00E705FF" w:rsidP="00573FBF">
      <w:pPr>
        <w:rPr>
          <w:rFonts w:cs="Arial"/>
          <w:szCs w:val="20"/>
        </w:rPr>
      </w:pPr>
      <w:r>
        <w:rPr>
          <w:rFonts w:cs="Arial"/>
          <w:szCs w:val="20"/>
        </w:rPr>
        <w:t xml:space="preserve">Après instruction par les services de la Région, les dossiers de demande seront présentés à l’organe délibérant pour décision. </w:t>
      </w:r>
    </w:p>
    <w:p w:rsidR="00E705FF" w:rsidRDefault="00E705FF" w:rsidP="00573FBF">
      <w:pPr>
        <w:rPr>
          <w:rFonts w:cs="Arial"/>
          <w:szCs w:val="20"/>
        </w:rPr>
      </w:pPr>
    </w:p>
    <w:p w:rsidR="00E705FF" w:rsidRPr="00BB7F7A" w:rsidRDefault="00E705FF" w:rsidP="00E705FF">
      <w:pPr>
        <w:pStyle w:val="Paragraphedeliste"/>
        <w:numPr>
          <w:ilvl w:val="0"/>
          <w:numId w:val="6"/>
        </w:numPr>
        <w:spacing w:after="160" w:line="259" w:lineRule="auto"/>
        <w:jc w:val="both"/>
        <w:rPr>
          <w:rFonts w:cs="Arial"/>
          <w:szCs w:val="20"/>
        </w:rPr>
      </w:pPr>
      <w:r w:rsidRPr="00BB7F7A">
        <w:rPr>
          <w:rFonts w:eastAsia="Calibri" w:cs="Arial"/>
          <w:b/>
          <w:szCs w:val="20"/>
          <w:u w:val="single"/>
          <w:lang w:eastAsia="en-US"/>
        </w:rPr>
        <w:t xml:space="preserve">Evaluation du cadre d’intervention </w:t>
      </w:r>
    </w:p>
    <w:p w:rsidR="00E705FF" w:rsidRDefault="00E705FF" w:rsidP="00E705FF">
      <w:pPr>
        <w:rPr>
          <w:rFonts w:cs="Arial"/>
          <w:szCs w:val="20"/>
        </w:rPr>
      </w:pPr>
      <w:r>
        <w:rPr>
          <w:rFonts w:cs="Arial"/>
          <w:szCs w:val="20"/>
        </w:rPr>
        <w:t xml:space="preserve">Les modalités d’évaluation de ce dispositif seront définies dans le cadre de l’évaluation du Schéma Régional de Développement économique, d’Innovation et d’internationalisation. </w:t>
      </w:r>
    </w:p>
    <w:p w:rsidR="00E705FF" w:rsidRDefault="00E705FF" w:rsidP="00E705FF">
      <w:pPr>
        <w:rPr>
          <w:rFonts w:cs="Arial"/>
          <w:szCs w:val="20"/>
        </w:rPr>
      </w:pPr>
    </w:p>
    <w:p w:rsidR="00E705FF" w:rsidRPr="007A74B1" w:rsidRDefault="00E705FF" w:rsidP="007A74B1">
      <w:pPr>
        <w:pStyle w:val="Paragraphedeliste"/>
        <w:numPr>
          <w:ilvl w:val="0"/>
          <w:numId w:val="6"/>
        </w:numPr>
        <w:spacing w:after="160" w:line="259" w:lineRule="auto"/>
        <w:jc w:val="both"/>
        <w:rPr>
          <w:rFonts w:eastAsia="Calibri" w:cs="Arial"/>
          <w:b/>
          <w:szCs w:val="20"/>
          <w:u w:val="single"/>
          <w:lang w:eastAsia="en-US"/>
        </w:rPr>
      </w:pPr>
      <w:r w:rsidRPr="007A74B1">
        <w:rPr>
          <w:rFonts w:eastAsia="Calibri" w:cs="Arial"/>
          <w:b/>
          <w:szCs w:val="20"/>
          <w:u w:val="single"/>
          <w:lang w:eastAsia="en-US"/>
        </w:rPr>
        <w:t xml:space="preserve">Fondements juridiques </w:t>
      </w:r>
    </w:p>
    <w:p w:rsidR="00E705FF" w:rsidRPr="00573FBF" w:rsidRDefault="0063533F" w:rsidP="00E705FF">
      <w:pPr>
        <w:numPr>
          <w:ilvl w:val="0"/>
          <w:numId w:val="4"/>
        </w:numPr>
        <w:spacing w:after="160" w:line="259" w:lineRule="auto"/>
        <w:contextualSpacing/>
        <w:jc w:val="both"/>
        <w:rPr>
          <w:rFonts w:eastAsia="Calibri" w:cs="Arial"/>
          <w:szCs w:val="20"/>
          <w:lang w:eastAsia="en-US"/>
        </w:rPr>
      </w:pPr>
      <w:r>
        <w:rPr>
          <w:rFonts w:cs="Arial"/>
          <w:szCs w:val="20"/>
        </w:rPr>
        <w:t xml:space="preserve"> </w:t>
      </w:r>
      <w:r w:rsidR="00E705FF" w:rsidRPr="00573FBF">
        <w:rPr>
          <w:rFonts w:eastAsia="Calibri" w:cs="Arial"/>
          <w:szCs w:val="20"/>
          <w:lang w:eastAsia="en-US"/>
        </w:rPr>
        <w:t>Article L1511-2 du Code Général des Collectivités Territoriales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RGEC</w:t>
      </w:r>
      <w:r w:rsidRPr="00573FBF">
        <w:rPr>
          <w:rFonts w:eastAsia="Calibri" w:cs="Arial"/>
          <w:szCs w:val="20"/>
          <w:lang w:eastAsia="en-US"/>
        </w:rPr>
        <w:t> : Règlement (UE) n° 651/2014 de la Commission du 17 juin 2014 déclarant certaines catégories d’aides compatibles avec le marché intérieur en application des articles 107 et 108 du traité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PME</w:t>
      </w:r>
      <w:r w:rsidRPr="00573FBF">
        <w:rPr>
          <w:rFonts w:eastAsia="Calibri" w:cs="Arial"/>
          <w:szCs w:val="20"/>
          <w:lang w:eastAsia="en-US"/>
        </w:rPr>
        <w:t> : Régime cadre exempté de notification n° SA.40453 relatif aux aides en faveur des PME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AFR</w:t>
      </w:r>
      <w:r w:rsidRPr="00573FBF">
        <w:rPr>
          <w:rFonts w:eastAsia="Calibri" w:cs="Arial"/>
          <w:szCs w:val="20"/>
          <w:lang w:eastAsia="en-US"/>
        </w:rPr>
        <w:t> : Régime cadre exempté de notification n° SA.39252 relatif aux aides à finalité régionale (AFR)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Environnement</w:t>
      </w:r>
      <w:r w:rsidRPr="00573FBF">
        <w:rPr>
          <w:rFonts w:eastAsia="Calibri" w:cs="Arial"/>
          <w:szCs w:val="20"/>
          <w:lang w:eastAsia="en-US"/>
        </w:rPr>
        <w:t> : Régime cadre exempté de notification n° SA.40405 relatif aux aides à la protection de l’environnement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Travailleurs défavorisés et handicapés</w:t>
      </w:r>
      <w:r w:rsidRPr="00573FBF">
        <w:rPr>
          <w:rFonts w:eastAsia="Calibri" w:cs="Arial"/>
          <w:szCs w:val="20"/>
          <w:lang w:eastAsia="en-US"/>
        </w:rPr>
        <w:t> : Régime cadre exempté de notification n° SA.40208 relatif aux aides en faveur de l’emploi des travailleurs défavorisés et des travailleurs handicapés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Formation</w:t>
      </w:r>
      <w:r w:rsidRPr="00573FBF">
        <w:rPr>
          <w:rFonts w:eastAsia="Calibri" w:cs="Arial"/>
          <w:szCs w:val="20"/>
          <w:lang w:eastAsia="en-US"/>
        </w:rPr>
        <w:t> : Régime cadre exempté de notification n° SA.40207 relatif aux aides à la formation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RDI</w:t>
      </w:r>
      <w:r w:rsidRPr="00573FBF">
        <w:rPr>
          <w:rFonts w:eastAsia="Calibri" w:cs="Arial"/>
          <w:szCs w:val="20"/>
          <w:lang w:eastAsia="en-US"/>
        </w:rPr>
        <w:t> : Régime cadre exempté de notification n° SA.40391 relatif aux aides à la recherche, au développement et à l’innovation (RDI) pour la période 2014-2020 ;</w:t>
      </w:r>
    </w:p>
    <w:p w:rsidR="00E705FF" w:rsidRPr="00573FBF" w:rsidRDefault="00E705FF" w:rsidP="00E705F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De minimis</w:t>
      </w:r>
      <w:r w:rsidRPr="00573FBF">
        <w:rPr>
          <w:rFonts w:eastAsia="Calibri" w:cs="Arial"/>
          <w:szCs w:val="20"/>
          <w:lang w:eastAsia="en-US"/>
        </w:rPr>
        <w:t> : Règlement (UE) n°1407/2013 de la Commission du 18 décembre 2013 relatif à l’application des articles 107 et 108 du traité sur le fonctionnement de l’Union européenne aux aides de minimis.</w:t>
      </w:r>
    </w:p>
    <w:p w:rsidR="00E705FF" w:rsidRPr="00573FBF" w:rsidRDefault="00E705FF" w:rsidP="00E705FF">
      <w:pPr>
        <w:numPr>
          <w:ilvl w:val="0"/>
          <w:numId w:val="4"/>
        </w:numPr>
        <w:spacing w:after="160" w:line="256" w:lineRule="auto"/>
        <w:contextualSpacing/>
        <w:jc w:val="both"/>
        <w:rPr>
          <w:rFonts w:eastAsia="Calibri" w:cs="Arial"/>
          <w:szCs w:val="20"/>
          <w:lang w:eastAsia="en-US"/>
        </w:rPr>
      </w:pPr>
      <w:r w:rsidRPr="00573FBF">
        <w:rPr>
          <w:rFonts w:eastAsia="Calibri" w:cs="Arial"/>
          <w:b/>
          <w:szCs w:val="20"/>
          <w:lang w:eastAsia="en-US"/>
        </w:rPr>
        <w:t>Agricole </w:t>
      </w:r>
      <w:r w:rsidRPr="00573FBF">
        <w:rPr>
          <w:rFonts w:eastAsia="Calibri" w:cs="Arial"/>
          <w:szCs w:val="20"/>
          <w:lang w:eastAsia="en-US"/>
        </w:rPr>
        <w:t>: Régime cadre exempté de notification n° SA 40417 relatif aux aides en faveur des PME actives dans la transformation et la commercialisation de produits agricoles pour la période 2015-2020.</w:t>
      </w:r>
    </w:p>
    <w:p w:rsidR="0063533F" w:rsidRPr="00573FBF" w:rsidRDefault="0063533F" w:rsidP="00573FBF">
      <w:pPr>
        <w:rPr>
          <w:rFonts w:cs="Arial"/>
          <w:szCs w:val="20"/>
        </w:rPr>
      </w:pPr>
    </w:p>
    <w:p w:rsidR="00573FBF" w:rsidRPr="00573FBF" w:rsidRDefault="00573FBF" w:rsidP="00573FBF">
      <w:pPr>
        <w:rPr>
          <w:rFonts w:cs="Arial"/>
          <w:szCs w:val="20"/>
        </w:rPr>
      </w:pPr>
    </w:p>
    <w:p w:rsidR="00573FBF" w:rsidRPr="00573FBF" w:rsidRDefault="00573FBF" w:rsidP="00573FBF">
      <w:pPr>
        <w:contextualSpacing/>
        <w:jc w:val="center"/>
        <w:rPr>
          <w:rFonts w:ascii="Times New Roman" w:hAnsi="Times New Roman" w:cs="Arial"/>
          <w:sz w:val="24"/>
          <w:u w:val="single"/>
        </w:rPr>
      </w:pPr>
      <w:r w:rsidRPr="00573FBF">
        <w:rPr>
          <w:rFonts w:cs="Arial"/>
          <w:sz w:val="24"/>
        </w:rPr>
        <w:br w:type="page"/>
      </w:r>
      <w:r w:rsidRPr="00573FBF">
        <w:rPr>
          <w:rFonts w:ascii="Times New Roman" w:hAnsi="Times New Roman" w:cs="Arial"/>
          <w:sz w:val="24"/>
          <w:u w:val="single"/>
        </w:rPr>
        <w:lastRenderedPageBreak/>
        <w:t xml:space="preserve">ANNEXE </w:t>
      </w:r>
    </w:p>
    <w:p w:rsidR="00573FBF" w:rsidRPr="00573FBF" w:rsidRDefault="00573FBF" w:rsidP="00573FBF">
      <w:pPr>
        <w:contextualSpacing/>
        <w:jc w:val="center"/>
        <w:rPr>
          <w:rFonts w:cs="Arial"/>
          <w:sz w:val="24"/>
        </w:rPr>
      </w:pPr>
      <w:r w:rsidRPr="00573FBF">
        <w:rPr>
          <w:rFonts w:cs="Arial"/>
          <w:b/>
          <w:sz w:val="24"/>
          <w:u w:val="single"/>
        </w:rPr>
        <w:t>Définitions européennes</w:t>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b/>
          <w:sz w:val="24"/>
          <w:u w:val="single"/>
        </w:rPr>
        <w:t>PME</w:t>
      </w:r>
      <w:r w:rsidRPr="00573FBF">
        <w:rPr>
          <w:rFonts w:cs="Arial"/>
          <w:sz w:val="24"/>
        </w:rPr>
        <w:t xml:space="preserve"> (annexe 1 du Règlement (UE) n° 651/2014 de la Commission du 17 juin 2014)</w:t>
      </w:r>
    </w:p>
    <w:p w:rsidR="00573FBF" w:rsidRPr="00573FBF" w:rsidRDefault="00573FBF" w:rsidP="00573FBF">
      <w:pPr>
        <w:contextualSpacing/>
        <w:jc w:val="both"/>
        <w:rPr>
          <w:rFonts w:cs="Arial"/>
          <w:sz w:val="24"/>
        </w:rPr>
      </w:pPr>
    </w:p>
    <w:p w:rsidR="00573FBF" w:rsidRPr="00573FBF" w:rsidRDefault="00573FBF" w:rsidP="00B65069">
      <w:pPr>
        <w:contextualSpacing/>
        <w:jc w:val="center"/>
        <w:rPr>
          <w:rFonts w:cs="Arial"/>
          <w:sz w:val="24"/>
        </w:rPr>
      </w:pPr>
      <w:r w:rsidRPr="00573FBF">
        <w:rPr>
          <w:rFonts w:cs="Arial"/>
          <w:noProof/>
          <w:sz w:val="24"/>
        </w:rPr>
        <w:drawing>
          <wp:inline distT="0" distB="0" distL="0" distR="0">
            <wp:extent cx="4676775" cy="6477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6477000"/>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B65069">
      <w:pPr>
        <w:contextualSpacing/>
        <w:jc w:val="center"/>
        <w:rPr>
          <w:rFonts w:cs="Arial"/>
          <w:sz w:val="24"/>
        </w:rPr>
      </w:pPr>
      <w:r w:rsidRPr="00573FBF">
        <w:rPr>
          <w:rFonts w:cs="Arial"/>
          <w:noProof/>
          <w:sz w:val="24"/>
        </w:rPr>
        <w:lastRenderedPageBreak/>
        <w:drawing>
          <wp:inline distT="0" distB="0" distL="0" distR="0">
            <wp:extent cx="5524500" cy="794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7943850"/>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B65069">
      <w:pPr>
        <w:contextualSpacing/>
        <w:jc w:val="center"/>
        <w:rPr>
          <w:rFonts w:cs="Arial"/>
          <w:sz w:val="24"/>
        </w:rPr>
      </w:pPr>
      <w:bookmarkStart w:id="0" w:name="_GoBack"/>
      <w:r w:rsidRPr="00573FBF">
        <w:rPr>
          <w:rFonts w:cs="Arial"/>
          <w:noProof/>
          <w:sz w:val="24"/>
        </w:rPr>
        <w:lastRenderedPageBreak/>
        <w:drawing>
          <wp:inline distT="0" distB="0" distL="0" distR="0">
            <wp:extent cx="5457825" cy="5610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5610225"/>
                    </a:xfrm>
                    <a:prstGeom prst="rect">
                      <a:avLst/>
                    </a:prstGeom>
                    <a:noFill/>
                    <a:ln>
                      <a:noFill/>
                    </a:ln>
                  </pic:spPr>
                </pic:pic>
              </a:graphicData>
            </a:graphic>
          </wp:inline>
        </w:drawing>
      </w:r>
      <w:bookmarkEnd w:id="0"/>
    </w:p>
    <w:p w:rsidR="00573FBF" w:rsidRPr="00573FBF" w:rsidRDefault="00573FBF" w:rsidP="00573FBF">
      <w:pPr>
        <w:contextualSpacing/>
        <w:jc w:val="both"/>
        <w:rPr>
          <w:rFonts w:cs="Arial"/>
          <w:sz w:val="24"/>
        </w:rPr>
      </w:pPr>
    </w:p>
    <w:p w:rsidR="00573FBF" w:rsidRPr="00573FBF" w:rsidRDefault="00573FBF" w:rsidP="00573FBF">
      <w:pPr>
        <w:rPr>
          <w:rFonts w:cs="Arial"/>
          <w:sz w:val="24"/>
        </w:rPr>
      </w:pPr>
      <w:r w:rsidRPr="00573FBF">
        <w:rPr>
          <w:rFonts w:cs="Arial"/>
          <w:sz w:val="24"/>
        </w:rPr>
        <w:br w:type="page"/>
      </w:r>
    </w:p>
    <w:p w:rsidR="00573FBF" w:rsidRPr="00573FBF" w:rsidRDefault="00573FBF" w:rsidP="00573FBF">
      <w:pPr>
        <w:contextualSpacing/>
        <w:jc w:val="both"/>
        <w:rPr>
          <w:rFonts w:cs="Arial"/>
          <w:sz w:val="24"/>
        </w:rPr>
      </w:pPr>
      <w:r w:rsidRPr="00573FBF">
        <w:rPr>
          <w:rFonts w:cs="Arial"/>
          <w:b/>
          <w:sz w:val="24"/>
          <w:u w:val="single"/>
        </w:rPr>
        <w:lastRenderedPageBreak/>
        <w:t>Entreprises en difficultés</w:t>
      </w:r>
      <w:r w:rsidRPr="00573FBF">
        <w:rPr>
          <w:rFonts w:cs="Arial"/>
          <w:sz w:val="24"/>
        </w:rPr>
        <w:t xml:space="preserve"> (Article 2 du Règlement (UE) n° 651/2014 de la Commission du 17 juin 2014)</w:t>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noProof/>
          <w:sz w:val="24"/>
        </w:rPr>
        <w:drawing>
          <wp:inline distT="0" distB="0" distL="0" distR="0">
            <wp:extent cx="5753100" cy="477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772025"/>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rPr>
          <w:rFonts w:cs="Arial"/>
          <w:szCs w:val="20"/>
        </w:rPr>
      </w:pPr>
    </w:p>
    <w:p w:rsidR="00573FBF" w:rsidRPr="00573FBF" w:rsidRDefault="00573FBF" w:rsidP="00573FBF">
      <w:pPr>
        <w:keepLines/>
        <w:spacing w:before="2400" w:after="720" w:line="360" w:lineRule="atLeast"/>
        <w:ind w:left="4536"/>
        <w:jc w:val="center"/>
        <w:rPr>
          <w:rFonts w:cs="Arial"/>
          <w:b/>
          <w:sz w:val="18"/>
          <w:szCs w:val="20"/>
        </w:rPr>
      </w:pPr>
    </w:p>
    <w:p w:rsidR="00573FBF" w:rsidRPr="00573FBF" w:rsidRDefault="00573FBF" w:rsidP="00573FBF">
      <w:pPr>
        <w:keepLines/>
        <w:ind w:left="4536"/>
        <w:jc w:val="center"/>
        <w:rPr>
          <w:rFonts w:cs="Arial"/>
          <w:b/>
          <w:sz w:val="18"/>
          <w:szCs w:val="20"/>
        </w:rPr>
      </w:pPr>
    </w:p>
    <w:p w:rsidR="00897DD4" w:rsidRDefault="00897DD4"/>
    <w:sectPr w:rsidR="00897DD4" w:rsidSect="00DE6224">
      <w:footerReference w:type="default" r:id="rId12"/>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71" w:rsidRDefault="00E87471">
      <w:r>
        <w:separator/>
      </w:r>
    </w:p>
  </w:endnote>
  <w:endnote w:type="continuationSeparator" w:id="0">
    <w:p w:rsidR="00E87471" w:rsidRDefault="00E8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69" w:rsidRDefault="00B65069" w:rsidP="00B65069">
    <w:pPr>
      <w:pStyle w:val="Pieddepage"/>
      <w:rPr>
        <w:rFonts w:ascii="Arial" w:hAnsi="Arial"/>
      </w:rPr>
    </w:pPr>
    <w:r>
      <w:rPr>
        <w:rFonts w:ascii="Arial" w:hAnsi="Arial"/>
      </w:rPr>
      <w:t xml:space="preserve">Feuille n° </w:t>
    </w:r>
    <w:r>
      <w:rPr>
        <w:rFonts w:ascii="Arial" w:hAnsi="Arial"/>
      </w:rPr>
      <w:fldChar w:fldCharType="begin"/>
    </w:r>
    <w:r>
      <w:rPr>
        <w:rFonts w:ascii="Arial" w:hAnsi="Arial"/>
      </w:rPr>
      <w:instrText xml:space="preserve"> PAGE \* ARABIC </w:instrText>
    </w:r>
    <w:r>
      <w:rPr>
        <w:rFonts w:ascii="Arial" w:hAnsi="Arial"/>
      </w:rPr>
      <w:fldChar w:fldCharType="separate"/>
    </w:r>
    <w:r>
      <w:rPr>
        <w:rFonts w:ascii="Arial" w:hAnsi="Arial"/>
        <w:noProof/>
      </w:rPr>
      <w:t>6</w:t>
    </w:r>
    <w:r>
      <w:rPr>
        <w:rFonts w:ascii="Arial" w:hAnsi="Arial"/>
      </w:rPr>
      <w:fldChar w:fldCharType="end"/>
    </w:r>
    <w:r>
      <w:rPr>
        <w:rFonts w:ascii="Arial" w:hAnsi="Arial"/>
      </w:rPr>
      <w:t xml:space="preserve"> </w:t>
    </w:r>
    <w:r>
      <w:rPr>
        <w:rFonts w:ascii="Arial" w:hAnsi="Arial"/>
      </w:rPr>
      <w:t>de l’annexe 2 à</w:t>
    </w:r>
    <w:r>
      <w:rPr>
        <w:rFonts w:ascii="Arial" w:hAnsi="Arial"/>
      </w:rPr>
      <w:t xml:space="preserve"> la Délibération n° </w:t>
    </w:r>
    <w:sdt>
      <w:sdtPr>
        <w:rPr>
          <w:rFonts w:ascii="Arial" w:hAnsi="Arial"/>
        </w:rPr>
        <w:alias w:val="NUM"/>
        <w:tag w:val="POS:/ROOT/INDEX/NUM"/>
        <w:id w:val="-811021069"/>
        <w:placeholder>
          <w:docPart w:val="B741E9CC95C0426E951A484198FC814D"/>
        </w:placeholder>
        <w:text/>
      </w:sdtPr>
      <w:sdtContent>
        <w:r>
          <w:rPr>
            <w:rFonts w:ascii="Arial" w:hAnsi="Arial"/>
          </w:rPr>
          <w:t>2020.01771</w:t>
        </w:r>
      </w:sdtContent>
    </w:sdt>
  </w:p>
  <w:p w:rsidR="00B149F6" w:rsidRPr="00B65069" w:rsidRDefault="00E87471" w:rsidP="00B650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71" w:rsidRDefault="00E87471">
      <w:r>
        <w:separator/>
      </w:r>
    </w:p>
  </w:footnote>
  <w:footnote w:type="continuationSeparator" w:id="0">
    <w:p w:rsidR="00E87471" w:rsidRDefault="00E8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462"/>
    <w:multiLevelType w:val="hybridMultilevel"/>
    <w:tmpl w:val="0EC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12D8B"/>
    <w:multiLevelType w:val="hybridMultilevel"/>
    <w:tmpl w:val="EFB0EDC4"/>
    <w:lvl w:ilvl="0" w:tplc="14427C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5F6F454">
      <w:numFmt w:val="bullet"/>
      <w:lvlText w:val="-"/>
      <w:lvlJc w:val="left"/>
      <w:pPr>
        <w:ind w:left="2340" w:hanging="360"/>
      </w:pPr>
      <w:rPr>
        <w:rFonts w:ascii="Arial" w:eastAsia="Calibr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1D0FD3"/>
    <w:multiLevelType w:val="hybridMultilevel"/>
    <w:tmpl w:val="AC9E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655D11"/>
    <w:multiLevelType w:val="hybridMultilevel"/>
    <w:tmpl w:val="41FE1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875A1D"/>
    <w:multiLevelType w:val="hybridMultilevel"/>
    <w:tmpl w:val="B4383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313FA4"/>
    <w:multiLevelType w:val="hybridMultilevel"/>
    <w:tmpl w:val="6DCCA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DB03F3"/>
    <w:multiLevelType w:val="hybridMultilevel"/>
    <w:tmpl w:val="3DF8B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F"/>
    <w:rsid w:val="000135E8"/>
    <w:rsid w:val="00123FAF"/>
    <w:rsid w:val="00146D0B"/>
    <w:rsid w:val="0015594A"/>
    <w:rsid w:val="001B2A6B"/>
    <w:rsid w:val="00317FB3"/>
    <w:rsid w:val="0032453B"/>
    <w:rsid w:val="00333D5C"/>
    <w:rsid w:val="00335E03"/>
    <w:rsid w:val="003726C2"/>
    <w:rsid w:val="003D5A51"/>
    <w:rsid w:val="003D61FB"/>
    <w:rsid w:val="003E19DE"/>
    <w:rsid w:val="0042305B"/>
    <w:rsid w:val="0044073D"/>
    <w:rsid w:val="004876AA"/>
    <w:rsid w:val="004A1FD3"/>
    <w:rsid w:val="004B6761"/>
    <w:rsid w:val="00510FA9"/>
    <w:rsid w:val="00573FBF"/>
    <w:rsid w:val="00575872"/>
    <w:rsid w:val="00610036"/>
    <w:rsid w:val="006255D0"/>
    <w:rsid w:val="0063533F"/>
    <w:rsid w:val="00645E53"/>
    <w:rsid w:val="0069098D"/>
    <w:rsid w:val="00712A5E"/>
    <w:rsid w:val="007A74B1"/>
    <w:rsid w:val="00897DD4"/>
    <w:rsid w:val="00A015A1"/>
    <w:rsid w:val="00A43F0C"/>
    <w:rsid w:val="00AA54AB"/>
    <w:rsid w:val="00AF6CE2"/>
    <w:rsid w:val="00B411DF"/>
    <w:rsid w:val="00B41B09"/>
    <w:rsid w:val="00B65069"/>
    <w:rsid w:val="00BA34B8"/>
    <w:rsid w:val="00BB7F7A"/>
    <w:rsid w:val="00C465A7"/>
    <w:rsid w:val="00CA73B0"/>
    <w:rsid w:val="00D55675"/>
    <w:rsid w:val="00D85162"/>
    <w:rsid w:val="00D90D46"/>
    <w:rsid w:val="00DE0B71"/>
    <w:rsid w:val="00E16271"/>
    <w:rsid w:val="00E705FF"/>
    <w:rsid w:val="00E87471"/>
    <w:rsid w:val="00EC6B6D"/>
    <w:rsid w:val="00FD57AB"/>
    <w:rsid w:val="00FF49BC"/>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4CA98-3E29-470E-B8CE-DFC5A0F7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73FBF"/>
    <w:pPr>
      <w:tabs>
        <w:tab w:val="center" w:pos="4536"/>
        <w:tab w:val="right" w:pos="9072"/>
      </w:tabs>
    </w:pPr>
    <w:rPr>
      <w:rFonts w:ascii="Times New Roman" w:hAnsi="Times New Roman"/>
      <w:szCs w:val="20"/>
    </w:rPr>
  </w:style>
  <w:style w:type="character" w:customStyle="1" w:styleId="PieddepageCar">
    <w:name w:val="Pied de page Car"/>
    <w:basedOn w:val="Policepardfaut"/>
    <w:link w:val="Pieddepage"/>
    <w:rsid w:val="00573FBF"/>
    <w:rPr>
      <w:rFonts w:ascii="Times New Roman" w:hAnsi="Times New Roman"/>
      <w:szCs w:val="20"/>
    </w:rPr>
  </w:style>
  <w:style w:type="paragraph" w:styleId="Textedebulles">
    <w:name w:val="Balloon Text"/>
    <w:basedOn w:val="Normal"/>
    <w:link w:val="TextedebullesCar"/>
    <w:rsid w:val="00712A5E"/>
    <w:rPr>
      <w:rFonts w:ascii="Segoe UI" w:hAnsi="Segoe UI" w:cs="Segoe UI"/>
      <w:sz w:val="18"/>
      <w:szCs w:val="18"/>
    </w:rPr>
  </w:style>
  <w:style w:type="character" w:customStyle="1" w:styleId="TextedebullesCar">
    <w:name w:val="Texte de bulles Car"/>
    <w:basedOn w:val="Policepardfaut"/>
    <w:link w:val="Textedebulles"/>
    <w:rsid w:val="00712A5E"/>
    <w:rPr>
      <w:rFonts w:ascii="Segoe UI" w:hAnsi="Segoe UI" w:cs="Segoe UI"/>
      <w:sz w:val="18"/>
      <w:szCs w:val="18"/>
    </w:rPr>
  </w:style>
  <w:style w:type="paragraph" w:styleId="Paragraphedeliste">
    <w:name w:val="List Paragraph"/>
    <w:basedOn w:val="Normal"/>
    <w:uiPriority w:val="34"/>
    <w:qFormat/>
    <w:rsid w:val="00AA54AB"/>
    <w:pPr>
      <w:ind w:left="720"/>
      <w:contextualSpacing/>
    </w:pPr>
  </w:style>
  <w:style w:type="character" w:styleId="Lienhypertexte">
    <w:name w:val="Hyperlink"/>
    <w:basedOn w:val="Policepardfaut"/>
    <w:rsid w:val="00317FB3"/>
    <w:rPr>
      <w:color w:val="0563C1" w:themeColor="hyperlink"/>
      <w:u w:val="single"/>
    </w:rPr>
  </w:style>
  <w:style w:type="paragraph" w:styleId="En-tte">
    <w:name w:val="header"/>
    <w:basedOn w:val="Normal"/>
    <w:link w:val="En-tteCar"/>
    <w:rsid w:val="00B65069"/>
    <w:pPr>
      <w:tabs>
        <w:tab w:val="center" w:pos="4536"/>
        <w:tab w:val="right" w:pos="9072"/>
      </w:tabs>
    </w:pPr>
  </w:style>
  <w:style w:type="character" w:customStyle="1" w:styleId="En-tteCar">
    <w:name w:val="En-tête Car"/>
    <w:basedOn w:val="Policepardfaut"/>
    <w:link w:val="En-tte"/>
    <w:rsid w:val="00B6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9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tiel-idf.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41E9CC95C0426E951A484198FC814D"/>
        <w:category>
          <w:name w:val="Général"/>
          <w:gallery w:val="placeholder"/>
        </w:category>
        <w:types>
          <w:type w:val="bbPlcHdr"/>
        </w:types>
        <w:behaviors>
          <w:behavior w:val="content"/>
        </w:behaviors>
        <w:guid w:val="{55BC71D9-4D5D-4A5C-A0B1-EF858FEECAAE}"/>
      </w:docPartPr>
      <w:docPartBody>
        <w:p w:rsidR="00000000" w:rsidRDefault="00B9401B" w:rsidP="00B9401B">
          <w:pPr>
            <w:pStyle w:val="B741E9CC95C0426E951A484198FC814D"/>
          </w:pPr>
          <w:r>
            <w:rPr>
              <w:rFonts w:ascii="Arial" w:hAnsi="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B"/>
    <w:rsid w:val="008156C1"/>
    <w:rsid w:val="00B94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41E9CC95C0426E951A484198FC814D">
    <w:name w:val="B741E9CC95C0426E951A484198FC814D"/>
    <w:rsid w:val="00B94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7</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 Jean-Denis</dc:creator>
  <cp:keywords/>
  <dc:description/>
  <cp:lastModifiedBy>BACQUET Valérie</cp:lastModifiedBy>
  <cp:revision>29</cp:revision>
  <cp:lastPrinted>2020-09-09T14:26:00Z</cp:lastPrinted>
  <dcterms:created xsi:type="dcterms:W3CDTF">2017-09-29T07:13:00Z</dcterms:created>
  <dcterms:modified xsi:type="dcterms:W3CDTF">2020-09-16T15:04:00Z</dcterms:modified>
</cp:coreProperties>
</file>