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935E" w14:textId="77777777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F55184" w14:textId="77777777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B8B681" w14:textId="77777777" w:rsidR="00ED1D9F" w:rsidRDefault="00ED1D9F" w:rsidP="0029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DD4DAA" w14:textId="5F61AA74" w:rsidR="00ED1D9F" w:rsidRPr="00336BBD" w:rsidRDefault="00ED1D9F" w:rsidP="0029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BBD">
        <w:rPr>
          <w:rFonts w:ascii="Arial" w:hAnsi="Arial" w:cs="Arial"/>
          <w:b/>
          <w:sz w:val="24"/>
          <w:szCs w:val="24"/>
        </w:rPr>
        <w:t xml:space="preserve">Cadre d’intervention </w:t>
      </w:r>
      <w:r>
        <w:rPr>
          <w:rFonts w:ascii="Arial" w:hAnsi="Arial" w:cs="Arial"/>
          <w:b/>
          <w:sz w:val="24"/>
          <w:szCs w:val="24"/>
        </w:rPr>
        <w:t>« </w:t>
      </w:r>
      <w:r w:rsidR="00E362E2">
        <w:rPr>
          <w:rFonts w:ascii="Arial" w:hAnsi="Arial" w:cs="Arial"/>
          <w:b/>
          <w:sz w:val="24"/>
          <w:szCs w:val="24"/>
        </w:rPr>
        <w:t>Aide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3AF4">
        <w:rPr>
          <w:rFonts w:ascii="Arial" w:hAnsi="Arial" w:cs="Arial"/>
          <w:b/>
          <w:sz w:val="24"/>
          <w:szCs w:val="24"/>
        </w:rPr>
        <w:t xml:space="preserve">exceptionnelle </w:t>
      </w:r>
      <w:r>
        <w:rPr>
          <w:rFonts w:ascii="Arial" w:hAnsi="Arial" w:cs="Arial"/>
          <w:b/>
          <w:sz w:val="24"/>
          <w:szCs w:val="24"/>
        </w:rPr>
        <w:t>aux</w:t>
      </w:r>
      <w:r w:rsidRPr="00336BBD">
        <w:rPr>
          <w:rFonts w:ascii="Arial" w:hAnsi="Arial" w:cs="Arial"/>
          <w:b/>
          <w:sz w:val="24"/>
          <w:szCs w:val="24"/>
        </w:rPr>
        <w:t xml:space="preserve"> entreprises</w:t>
      </w:r>
      <w:r>
        <w:rPr>
          <w:rFonts w:ascii="Arial" w:hAnsi="Arial" w:cs="Arial"/>
          <w:b/>
          <w:sz w:val="24"/>
          <w:szCs w:val="24"/>
        </w:rPr>
        <w:t xml:space="preserve"> sinistrées par les inondations survenues sur le territoire de la région Hauts-de-France</w:t>
      </w:r>
      <w:r w:rsidR="002B6F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»</w:t>
      </w:r>
    </w:p>
    <w:p w14:paraId="10B4979D" w14:textId="77777777" w:rsidR="008D7581" w:rsidRPr="008D7581" w:rsidRDefault="008D7581" w:rsidP="0029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788542" w14:textId="77777777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9D2332" w14:textId="1979A6EF" w:rsidR="008D7581" w:rsidRDefault="008D758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8AF5F" w14:textId="49C7FE58" w:rsidR="00292654" w:rsidRPr="00292654" w:rsidRDefault="00292654" w:rsidP="00292654">
      <w:pPr>
        <w:pBdr>
          <w:bottom w:val="dotted" w:sz="4" w:space="0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Préambule</w:t>
      </w:r>
    </w:p>
    <w:p w14:paraId="7BAA78BF" w14:textId="77777777" w:rsidR="00292654" w:rsidRDefault="00292654" w:rsidP="0029265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0C68EF4" w14:textId="69B6895D" w:rsidR="00ED1D9F" w:rsidRDefault="00ED1D9F" w:rsidP="002926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La région </w:t>
      </w:r>
      <w:r w:rsidRPr="00ED1D9F">
        <w:rPr>
          <w:rFonts w:ascii="Arial" w:hAnsi="Arial" w:cs="Arial"/>
          <w:sz w:val="20"/>
          <w:szCs w:val="20"/>
        </w:rPr>
        <w:t xml:space="preserve">Hauts-de-France a été confrontée </w:t>
      </w:r>
      <w:r w:rsidR="00C86BAC">
        <w:rPr>
          <w:rFonts w:ascii="Arial" w:hAnsi="Arial" w:cs="Arial"/>
          <w:sz w:val="20"/>
          <w:szCs w:val="20"/>
        </w:rPr>
        <w:t xml:space="preserve">fin 2023 et début 2024 </w:t>
      </w:r>
      <w:r w:rsidRPr="00ED1D9F">
        <w:rPr>
          <w:rFonts w:ascii="Arial" w:hAnsi="Arial" w:cs="Arial"/>
          <w:sz w:val="20"/>
          <w:szCs w:val="20"/>
        </w:rPr>
        <w:t xml:space="preserve">à des épisodes pluvieux </w:t>
      </w:r>
      <w:r w:rsidR="00C86BAC">
        <w:rPr>
          <w:rFonts w:ascii="Arial" w:hAnsi="Arial" w:cs="Arial"/>
          <w:sz w:val="20"/>
          <w:szCs w:val="20"/>
        </w:rPr>
        <w:t xml:space="preserve">entrainant des inondations et coulées de boues </w:t>
      </w:r>
      <w:r w:rsidRPr="00ED1D9F">
        <w:rPr>
          <w:rFonts w:ascii="Arial" w:hAnsi="Arial" w:cs="Arial"/>
          <w:sz w:val="20"/>
          <w:szCs w:val="20"/>
        </w:rPr>
        <w:t xml:space="preserve">qui ont occasionné </w:t>
      </w:r>
      <w:r w:rsidR="00DD4BA2">
        <w:rPr>
          <w:rFonts w:ascii="Arial" w:hAnsi="Arial" w:cs="Arial"/>
          <w:sz w:val="20"/>
          <w:szCs w:val="20"/>
        </w:rPr>
        <w:t>des dommages matériels pour certaines entreprises</w:t>
      </w:r>
      <w:r w:rsidRPr="00ED1D9F">
        <w:rPr>
          <w:rFonts w:ascii="Arial" w:hAnsi="Arial" w:cs="Arial"/>
          <w:sz w:val="20"/>
          <w:szCs w:val="20"/>
        </w:rPr>
        <w:t xml:space="preserve">. </w:t>
      </w:r>
    </w:p>
    <w:p w14:paraId="48F791F1" w14:textId="18095AC7" w:rsidR="00292654" w:rsidRDefault="00292654" w:rsidP="00292654">
      <w:pPr>
        <w:pStyle w:val="Default"/>
        <w:jc w:val="both"/>
        <w:rPr>
          <w:rFonts w:ascii="Arial" w:hAnsi="Arial" w:cs="Arial"/>
          <w:sz w:val="20"/>
        </w:rPr>
      </w:pPr>
    </w:p>
    <w:p w14:paraId="6AB8DA94" w14:textId="7CDD23D2" w:rsidR="00CC3228" w:rsidRPr="00501460" w:rsidRDefault="00ED1D9F" w:rsidP="0029265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Pour cela, la Région a la volonté </w:t>
      </w:r>
      <w:r w:rsidR="00CC3228" w:rsidRPr="00501460">
        <w:rPr>
          <w:rFonts w:ascii="Arial" w:hAnsi="Arial" w:cs="Arial"/>
          <w:sz w:val="20"/>
          <w:szCs w:val="20"/>
        </w:rPr>
        <w:t xml:space="preserve">d’apporter un soutien </w:t>
      </w:r>
      <w:r w:rsidR="00E362E2">
        <w:rPr>
          <w:rFonts w:ascii="Arial" w:hAnsi="Arial" w:cs="Arial"/>
          <w:sz w:val="20"/>
          <w:szCs w:val="20"/>
        </w:rPr>
        <w:t>financier aux</w:t>
      </w:r>
      <w:r w:rsidR="009D2894" w:rsidRPr="00501460">
        <w:rPr>
          <w:rFonts w:ascii="Arial" w:hAnsi="Arial" w:cs="Arial"/>
          <w:sz w:val="20"/>
          <w:szCs w:val="20"/>
        </w:rPr>
        <w:t xml:space="preserve"> entreprises</w:t>
      </w:r>
      <w:r w:rsidR="00292654">
        <w:rPr>
          <w:rFonts w:ascii="Arial" w:hAnsi="Arial" w:cs="Arial"/>
          <w:sz w:val="20"/>
          <w:szCs w:val="20"/>
        </w:rPr>
        <w:t xml:space="preserve"> sinistrées</w:t>
      </w:r>
      <w:r w:rsidR="00466B78">
        <w:rPr>
          <w:rFonts w:ascii="Arial" w:hAnsi="Arial" w:cs="Arial"/>
          <w:sz w:val="20"/>
          <w:szCs w:val="20"/>
        </w:rPr>
        <w:t xml:space="preserve"> pour leur permettre de </w:t>
      </w:r>
      <w:r w:rsidR="0036422D">
        <w:rPr>
          <w:rFonts w:ascii="Arial" w:hAnsi="Arial" w:cs="Arial"/>
          <w:sz w:val="20"/>
          <w:szCs w:val="20"/>
        </w:rPr>
        <w:t xml:space="preserve">reprendre et/ou </w:t>
      </w:r>
      <w:r w:rsidR="00466B78">
        <w:rPr>
          <w:rFonts w:ascii="Arial" w:hAnsi="Arial" w:cs="Arial"/>
          <w:sz w:val="20"/>
          <w:szCs w:val="20"/>
        </w:rPr>
        <w:t>poursuivre leur activité</w:t>
      </w:r>
      <w:r w:rsidR="00161AEF">
        <w:rPr>
          <w:rFonts w:ascii="Arial" w:hAnsi="Arial" w:cs="Arial"/>
          <w:sz w:val="20"/>
          <w:szCs w:val="20"/>
        </w:rPr>
        <w:t>.</w:t>
      </w:r>
      <w:r w:rsidR="00700A2F">
        <w:rPr>
          <w:rFonts w:ascii="Arial" w:hAnsi="Arial" w:cs="Arial"/>
          <w:sz w:val="20"/>
          <w:szCs w:val="20"/>
        </w:rPr>
        <w:t xml:space="preserve"> </w:t>
      </w:r>
    </w:p>
    <w:p w14:paraId="50A64B10" w14:textId="77777777" w:rsidR="00CC3228" w:rsidRPr="00501460" w:rsidRDefault="00CC3228" w:rsidP="0029265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5A372E0" w14:textId="6B44A696" w:rsidR="00CC3228" w:rsidRDefault="00CC3228" w:rsidP="002926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01460">
        <w:rPr>
          <w:rFonts w:ascii="Arial" w:hAnsi="Arial" w:cs="Arial"/>
          <w:sz w:val="20"/>
          <w:szCs w:val="20"/>
        </w:rPr>
        <w:t>Ce</w:t>
      </w:r>
      <w:r w:rsidR="00E362E2">
        <w:rPr>
          <w:rFonts w:ascii="Arial" w:hAnsi="Arial" w:cs="Arial"/>
          <w:sz w:val="20"/>
          <w:szCs w:val="20"/>
        </w:rPr>
        <w:t>tte aide</w:t>
      </w:r>
      <w:r w:rsidRPr="00501460">
        <w:rPr>
          <w:rFonts w:ascii="Arial" w:hAnsi="Arial" w:cs="Arial"/>
          <w:sz w:val="20"/>
          <w:szCs w:val="20"/>
        </w:rPr>
        <w:t xml:space="preserve"> exceptionnel</w:t>
      </w:r>
      <w:r w:rsidR="00E362E2">
        <w:rPr>
          <w:rFonts w:ascii="Arial" w:hAnsi="Arial" w:cs="Arial"/>
          <w:sz w:val="20"/>
          <w:szCs w:val="20"/>
        </w:rPr>
        <w:t>le</w:t>
      </w:r>
      <w:r w:rsidRPr="00501460">
        <w:rPr>
          <w:rFonts w:ascii="Arial" w:hAnsi="Arial" w:cs="Arial"/>
          <w:sz w:val="20"/>
          <w:szCs w:val="20"/>
        </w:rPr>
        <w:t xml:space="preserve"> pourra être complété</w:t>
      </w:r>
      <w:r w:rsidR="00E362E2">
        <w:rPr>
          <w:rFonts w:ascii="Arial" w:hAnsi="Arial" w:cs="Arial"/>
          <w:sz w:val="20"/>
          <w:szCs w:val="20"/>
        </w:rPr>
        <w:t>e</w:t>
      </w:r>
      <w:r w:rsidRPr="00501460">
        <w:rPr>
          <w:rFonts w:ascii="Arial" w:hAnsi="Arial" w:cs="Arial"/>
          <w:sz w:val="20"/>
          <w:szCs w:val="20"/>
        </w:rPr>
        <w:t xml:space="preserve"> </w:t>
      </w:r>
      <w:r w:rsidR="002E7AE5">
        <w:rPr>
          <w:rFonts w:ascii="Arial" w:hAnsi="Arial" w:cs="Arial"/>
          <w:sz w:val="20"/>
          <w:szCs w:val="20"/>
        </w:rPr>
        <w:t xml:space="preserve">par les aides des EPCI et </w:t>
      </w:r>
      <w:r w:rsidRPr="00501460">
        <w:rPr>
          <w:rFonts w:ascii="Arial" w:hAnsi="Arial" w:cs="Arial"/>
          <w:sz w:val="20"/>
          <w:szCs w:val="20"/>
        </w:rPr>
        <w:t>par des dispositifs régionaux existants</w:t>
      </w:r>
      <w:r w:rsidR="002E7AE5">
        <w:rPr>
          <w:rFonts w:ascii="Arial" w:hAnsi="Arial" w:cs="Arial"/>
          <w:sz w:val="20"/>
          <w:szCs w:val="20"/>
        </w:rPr>
        <w:t> (</w:t>
      </w:r>
      <w:r w:rsidR="00E362E2">
        <w:rPr>
          <w:rFonts w:ascii="Arial" w:hAnsi="Arial" w:cs="Arial"/>
          <w:sz w:val="20"/>
          <w:szCs w:val="20"/>
        </w:rPr>
        <w:t xml:space="preserve">fonds de soutien aux entreprises sinistrées, </w:t>
      </w:r>
      <w:r w:rsidRPr="00501460">
        <w:rPr>
          <w:rFonts w:ascii="Arial" w:hAnsi="Arial" w:cs="Arial"/>
          <w:sz w:val="20"/>
          <w:szCs w:val="20"/>
        </w:rPr>
        <w:t xml:space="preserve">fonds de premier secours, </w:t>
      </w:r>
      <w:r w:rsidR="00292654">
        <w:rPr>
          <w:rFonts w:ascii="Arial" w:hAnsi="Arial" w:cs="Arial"/>
          <w:sz w:val="20"/>
          <w:szCs w:val="20"/>
        </w:rPr>
        <w:t>Hauts de France Prévention</w:t>
      </w:r>
      <w:r w:rsidR="00BF64FF">
        <w:rPr>
          <w:rFonts w:ascii="Arial" w:hAnsi="Arial" w:cs="Arial"/>
          <w:sz w:val="20"/>
          <w:szCs w:val="20"/>
        </w:rPr>
        <w:t>..</w:t>
      </w:r>
      <w:r w:rsidRPr="00501460">
        <w:rPr>
          <w:rFonts w:ascii="Arial" w:hAnsi="Arial" w:cs="Arial"/>
          <w:sz w:val="20"/>
          <w:szCs w:val="20"/>
        </w:rPr>
        <w:t>.</w:t>
      </w:r>
      <w:r w:rsidR="002E7AE5">
        <w:rPr>
          <w:rFonts w:ascii="Arial" w:hAnsi="Arial" w:cs="Arial"/>
          <w:sz w:val="20"/>
          <w:szCs w:val="20"/>
        </w:rPr>
        <w:t>).</w:t>
      </w:r>
    </w:p>
    <w:p w14:paraId="345C167F" w14:textId="77777777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D7DE2D" w14:textId="77777777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734E99" w14:textId="77777777" w:rsidR="008D7581" w:rsidRPr="008D7581" w:rsidRDefault="008D7581" w:rsidP="00292654">
      <w:pPr>
        <w:pBdr>
          <w:bottom w:val="dotted" w:sz="4" w:space="1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7581">
        <w:rPr>
          <w:rFonts w:ascii="Arial" w:hAnsi="Arial" w:cs="Arial"/>
          <w:b/>
          <w:bCs/>
          <w:sz w:val="20"/>
          <w:szCs w:val="20"/>
        </w:rPr>
        <w:t>Objectifs</w:t>
      </w:r>
    </w:p>
    <w:p w14:paraId="699B0CC9" w14:textId="77777777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46669D" w14:textId="43EA6C1D" w:rsidR="008D7581" w:rsidRPr="008D7581" w:rsidRDefault="00D26AA9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s’agit </w:t>
      </w:r>
      <w:r w:rsidR="0035084B">
        <w:rPr>
          <w:rFonts w:ascii="Arial" w:hAnsi="Arial" w:cs="Arial"/>
          <w:sz w:val="20"/>
          <w:szCs w:val="20"/>
        </w:rPr>
        <w:t xml:space="preserve">d’aider financièrement les entreprises sinistrées en </w:t>
      </w:r>
      <w:r w:rsidR="002B6F94">
        <w:rPr>
          <w:rFonts w:ascii="Arial" w:hAnsi="Arial" w:cs="Arial"/>
          <w:sz w:val="20"/>
          <w:szCs w:val="20"/>
        </w:rPr>
        <w:t xml:space="preserve">accordant une aide pour les dépenses de réfection ou de remplacement des biens endommagés non prises en charge </w:t>
      </w:r>
      <w:r w:rsidR="00466B78">
        <w:rPr>
          <w:rFonts w:ascii="Arial" w:hAnsi="Arial" w:cs="Arial"/>
          <w:sz w:val="20"/>
          <w:szCs w:val="20"/>
        </w:rPr>
        <w:t xml:space="preserve">intégralement </w:t>
      </w:r>
      <w:r w:rsidR="002B6F94">
        <w:rPr>
          <w:rFonts w:ascii="Arial" w:hAnsi="Arial" w:cs="Arial"/>
          <w:sz w:val="20"/>
          <w:szCs w:val="20"/>
        </w:rPr>
        <w:t>par l’assurance</w:t>
      </w:r>
      <w:r w:rsidR="00316CFA">
        <w:rPr>
          <w:rFonts w:ascii="Arial" w:hAnsi="Arial" w:cs="Arial"/>
          <w:sz w:val="20"/>
          <w:szCs w:val="20"/>
        </w:rPr>
        <w:t xml:space="preserve"> du fait de la franchise</w:t>
      </w:r>
      <w:r w:rsidR="00161AEF">
        <w:rPr>
          <w:rFonts w:ascii="Arial" w:hAnsi="Arial" w:cs="Arial"/>
          <w:sz w:val="20"/>
          <w:szCs w:val="20"/>
        </w:rPr>
        <w:t>.</w:t>
      </w:r>
    </w:p>
    <w:p w14:paraId="33DB8EF2" w14:textId="77777777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89B993" w14:textId="38EE1809" w:rsidR="00851331" w:rsidRPr="008D7581" w:rsidRDefault="00851331" w:rsidP="00851331">
      <w:pPr>
        <w:pBdr>
          <w:bottom w:val="dotted" w:sz="4" w:space="1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Zone géographique d’application et durée de mis en œuvre du cadre d’intervention</w:t>
      </w:r>
    </w:p>
    <w:p w14:paraId="1CA12B73" w14:textId="77777777" w:rsidR="00851331" w:rsidRPr="008D7581" w:rsidRDefault="00851331" w:rsidP="0085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3B50FD" w14:textId="69680CDD" w:rsidR="00851331" w:rsidRPr="00726AF8" w:rsidRDefault="00851331" w:rsidP="00851331">
      <w:pPr>
        <w:jc w:val="both"/>
        <w:rPr>
          <w:rFonts w:ascii="Arial" w:hAnsi="Arial" w:cs="Arial"/>
          <w:sz w:val="20"/>
          <w:szCs w:val="20"/>
        </w:rPr>
      </w:pPr>
      <w:r w:rsidRPr="00726AF8">
        <w:rPr>
          <w:rFonts w:ascii="Arial" w:hAnsi="Arial" w:cs="Arial"/>
          <w:sz w:val="20"/>
          <w:szCs w:val="20"/>
        </w:rPr>
        <w:t>Le présent cadre d’intervention est applicable sur l’ensemble d</w:t>
      </w:r>
      <w:r>
        <w:rPr>
          <w:rFonts w:ascii="Arial" w:hAnsi="Arial" w:cs="Arial"/>
          <w:sz w:val="20"/>
          <w:szCs w:val="20"/>
        </w:rPr>
        <w:t>es communes de la région Hauts-de-France qui ont obtenu la reconnaissance de l’état de catastrophe naturelle</w:t>
      </w:r>
      <w:r w:rsidR="00D002DE">
        <w:rPr>
          <w:rFonts w:ascii="Arial" w:hAnsi="Arial" w:cs="Arial"/>
          <w:sz w:val="20"/>
          <w:szCs w:val="20"/>
        </w:rPr>
        <w:t xml:space="preserve"> </w:t>
      </w:r>
      <w:r w:rsidR="00B57AC8">
        <w:rPr>
          <w:rFonts w:ascii="Arial" w:hAnsi="Arial" w:cs="Arial"/>
          <w:sz w:val="20"/>
          <w:szCs w:val="20"/>
        </w:rPr>
        <w:t xml:space="preserve">en raison des fortes pluies survenues </w:t>
      </w:r>
      <w:r w:rsidR="00A149EB">
        <w:rPr>
          <w:rFonts w:ascii="Arial" w:hAnsi="Arial" w:cs="Arial"/>
          <w:sz w:val="20"/>
        </w:rPr>
        <w:t xml:space="preserve">fin 2023 </w:t>
      </w:r>
      <w:r w:rsidR="00DD4BA2">
        <w:rPr>
          <w:rFonts w:ascii="Arial" w:hAnsi="Arial" w:cs="Arial"/>
          <w:sz w:val="20"/>
        </w:rPr>
        <w:t>et</w:t>
      </w:r>
      <w:r w:rsidR="00A149EB">
        <w:rPr>
          <w:rFonts w:ascii="Arial" w:hAnsi="Arial" w:cs="Arial"/>
          <w:sz w:val="20"/>
        </w:rPr>
        <w:t xml:space="preserve"> début 2024</w:t>
      </w:r>
      <w:r w:rsidR="00B57AC8">
        <w:rPr>
          <w:rFonts w:ascii="Arial" w:hAnsi="Arial" w:cs="Arial"/>
          <w:sz w:val="20"/>
          <w:szCs w:val="20"/>
        </w:rPr>
        <w:t>.</w:t>
      </w:r>
      <w:r w:rsidR="005C2326">
        <w:rPr>
          <w:rFonts w:ascii="Arial" w:hAnsi="Arial" w:cs="Arial"/>
          <w:sz w:val="20"/>
          <w:szCs w:val="20"/>
        </w:rPr>
        <w:t xml:space="preserve"> </w:t>
      </w:r>
    </w:p>
    <w:p w14:paraId="379EA67E" w14:textId="5134C2BF" w:rsidR="00851331" w:rsidRDefault="00851331" w:rsidP="00851331">
      <w:pPr>
        <w:jc w:val="both"/>
        <w:rPr>
          <w:rFonts w:ascii="Arial" w:hAnsi="Arial" w:cs="Arial"/>
          <w:sz w:val="20"/>
          <w:szCs w:val="20"/>
        </w:rPr>
      </w:pPr>
      <w:r w:rsidRPr="00726AF8">
        <w:rPr>
          <w:rFonts w:ascii="Arial" w:hAnsi="Arial" w:cs="Arial"/>
          <w:sz w:val="20"/>
          <w:szCs w:val="20"/>
        </w:rPr>
        <w:t>Il entre en application à compter d</w:t>
      </w:r>
      <w:r>
        <w:rPr>
          <w:rFonts w:ascii="Arial" w:hAnsi="Arial" w:cs="Arial"/>
          <w:sz w:val="20"/>
          <w:szCs w:val="20"/>
        </w:rPr>
        <w:t>u caractère exécutoire d</w:t>
      </w:r>
      <w:r w:rsidRPr="00726AF8">
        <w:rPr>
          <w:rFonts w:ascii="Arial" w:hAnsi="Arial" w:cs="Arial"/>
          <w:sz w:val="20"/>
          <w:szCs w:val="20"/>
        </w:rPr>
        <w:t xml:space="preserve">e la délibération du Conseil Régional y afférent et demeure applicable </w:t>
      </w:r>
      <w:r w:rsidRPr="00DA63DC">
        <w:rPr>
          <w:rFonts w:ascii="Arial" w:hAnsi="Arial" w:cs="Arial"/>
          <w:sz w:val="20"/>
          <w:szCs w:val="20"/>
        </w:rPr>
        <w:t xml:space="preserve">jusqu’au </w:t>
      </w:r>
      <w:r w:rsidR="005D67BE" w:rsidRPr="00DA63DC">
        <w:rPr>
          <w:rFonts w:ascii="Arial" w:hAnsi="Arial" w:cs="Arial"/>
          <w:sz w:val="20"/>
          <w:szCs w:val="20"/>
        </w:rPr>
        <w:t>31 décembre</w:t>
      </w:r>
      <w:r w:rsidR="00D002DE" w:rsidRPr="00DA63DC">
        <w:rPr>
          <w:rFonts w:ascii="Arial" w:hAnsi="Arial" w:cs="Arial"/>
          <w:sz w:val="20"/>
          <w:szCs w:val="20"/>
        </w:rPr>
        <w:t xml:space="preserve"> 2024</w:t>
      </w:r>
      <w:r w:rsidRPr="00DA63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DB04EF" w14:textId="333363B7" w:rsidR="00851331" w:rsidRDefault="0085133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D5E3D4" w14:textId="77777777" w:rsidR="008D7581" w:rsidRPr="008D7581" w:rsidRDefault="008D7581" w:rsidP="00292654">
      <w:pPr>
        <w:pBdr>
          <w:bottom w:val="dotted" w:sz="4" w:space="1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581">
        <w:rPr>
          <w:rFonts w:ascii="Arial" w:hAnsi="Arial" w:cs="Arial"/>
          <w:b/>
          <w:bCs/>
          <w:sz w:val="20"/>
          <w:szCs w:val="20"/>
        </w:rPr>
        <w:t>Entreprises bénéficiaires</w:t>
      </w:r>
    </w:p>
    <w:p w14:paraId="1C91E6A7" w14:textId="77777777" w:rsidR="008D7581" w:rsidRPr="008D7581" w:rsidRDefault="008D7581" w:rsidP="0029265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66F3FF" w14:textId="2F6FB4B7" w:rsidR="00370C9E" w:rsidRPr="00726AF8" w:rsidRDefault="00370C9E" w:rsidP="00370C9E">
      <w:pPr>
        <w:jc w:val="both"/>
        <w:rPr>
          <w:rFonts w:ascii="Arial" w:hAnsi="Arial" w:cs="Arial"/>
          <w:sz w:val="20"/>
          <w:szCs w:val="20"/>
        </w:rPr>
      </w:pPr>
      <w:r w:rsidRPr="00726AF8">
        <w:rPr>
          <w:rFonts w:ascii="Arial" w:hAnsi="Arial" w:cs="Arial"/>
          <w:sz w:val="20"/>
          <w:szCs w:val="20"/>
        </w:rPr>
        <w:t>Peuvent bénéficier d’une aide sur la base du présent cadre d’intervention, les entreprises</w:t>
      </w:r>
      <w:r w:rsidR="00FB0466">
        <w:rPr>
          <w:rFonts w:ascii="Arial" w:hAnsi="Arial" w:cs="Arial"/>
          <w:sz w:val="20"/>
          <w:szCs w:val="20"/>
        </w:rPr>
        <w:t xml:space="preserve"> (TPE/PME, artisans, commerçants, professions libérales)</w:t>
      </w:r>
      <w:r w:rsidRPr="00726AF8">
        <w:rPr>
          <w:rFonts w:ascii="Arial" w:hAnsi="Arial" w:cs="Arial"/>
          <w:sz w:val="20"/>
          <w:szCs w:val="20"/>
        </w:rPr>
        <w:t xml:space="preserve"> :</w:t>
      </w:r>
    </w:p>
    <w:p w14:paraId="06AB30F7" w14:textId="79CF8DC7" w:rsidR="00370C9E" w:rsidRDefault="00C64CF5" w:rsidP="009D1926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Situées</w:t>
      </w:r>
      <w:r w:rsidR="00370C9E" w:rsidRPr="00B57AC8">
        <w:rPr>
          <w:rFonts w:ascii="Arial" w:hAnsi="Arial" w:cs="Arial"/>
          <w:sz w:val="20"/>
        </w:rPr>
        <w:t xml:space="preserve"> dans une commune de la région Hauts-de-France dont l’état de catastrophe naturelle a été reconnu</w:t>
      </w:r>
      <w:r w:rsidR="00B57AC8" w:rsidRPr="00B57AC8">
        <w:rPr>
          <w:rFonts w:ascii="Arial" w:hAnsi="Arial" w:cs="Arial"/>
          <w:sz w:val="20"/>
        </w:rPr>
        <w:t xml:space="preserve"> par arrêté interministériel à la suite des fortes pluies</w:t>
      </w:r>
      <w:r w:rsidR="004F054C">
        <w:rPr>
          <w:rFonts w:ascii="Arial" w:hAnsi="Arial" w:cs="Arial"/>
          <w:sz w:val="20"/>
        </w:rPr>
        <w:t xml:space="preserve"> survenues </w:t>
      </w:r>
      <w:r w:rsidR="00E84805">
        <w:rPr>
          <w:rFonts w:ascii="Arial" w:hAnsi="Arial" w:cs="Arial"/>
          <w:sz w:val="20"/>
        </w:rPr>
        <w:t>fin 2023</w:t>
      </w:r>
      <w:r w:rsidR="00A149EB">
        <w:rPr>
          <w:rFonts w:ascii="Arial" w:hAnsi="Arial" w:cs="Arial"/>
          <w:sz w:val="20"/>
        </w:rPr>
        <w:t xml:space="preserve"> </w:t>
      </w:r>
      <w:r w:rsidR="00E84805">
        <w:rPr>
          <w:rFonts w:ascii="Arial" w:hAnsi="Arial" w:cs="Arial"/>
          <w:sz w:val="20"/>
        </w:rPr>
        <w:t>/</w:t>
      </w:r>
      <w:r w:rsidR="00A149EB">
        <w:rPr>
          <w:rFonts w:ascii="Arial" w:hAnsi="Arial" w:cs="Arial"/>
          <w:sz w:val="20"/>
        </w:rPr>
        <w:t xml:space="preserve"> </w:t>
      </w:r>
      <w:r w:rsidR="00E84805">
        <w:rPr>
          <w:rFonts w:ascii="Arial" w:hAnsi="Arial" w:cs="Arial"/>
          <w:sz w:val="20"/>
        </w:rPr>
        <w:t>début 2024</w:t>
      </w:r>
      <w:r w:rsidR="005E4E74">
        <w:rPr>
          <w:rFonts w:ascii="Arial" w:hAnsi="Arial" w:cs="Arial"/>
          <w:sz w:val="20"/>
        </w:rPr>
        <w:t>.</w:t>
      </w:r>
    </w:p>
    <w:p w14:paraId="2A7EFB64" w14:textId="4A0B9FD2" w:rsidR="00444514" w:rsidRPr="00444514" w:rsidRDefault="00444514" w:rsidP="00444514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444514">
        <w:rPr>
          <w:rFonts w:ascii="Arial" w:hAnsi="Arial" w:cs="Arial"/>
          <w:sz w:val="20"/>
        </w:rPr>
        <w:t>Inscrites au Registre du Commerce et des Sociétés (RCS), Registre des Métiers (RM) ou Registre national des entreprises (RNE)</w:t>
      </w:r>
    </w:p>
    <w:p w14:paraId="022AB466" w14:textId="10ABEF74" w:rsidR="0097181C" w:rsidRDefault="005D67BE" w:rsidP="00370C9E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7181C">
        <w:rPr>
          <w:rFonts w:ascii="Arial" w:hAnsi="Arial" w:cs="Arial"/>
          <w:sz w:val="20"/>
        </w:rPr>
        <w:t xml:space="preserve"> jour de </w:t>
      </w:r>
      <w:r w:rsidR="00173227">
        <w:rPr>
          <w:rFonts w:ascii="Arial" w:hAnsi="Arial" w:cs="Arial"/>
          <w:sz w:val="20"/>
        </w:rPr>
        <w:t xml:space="preserve">leurs </w:t>
      </w:r>
      <w:r w:rsidR="0097181C">
        <w:rPr>
          <w:rFonts w:ascii="Arial" w:hAnsi="Arial" w:cs="Arial"/>
          <w:sz w:val="20"/>
        </w:rPr>
        <w:t>obligations fiscales et sociales</w:t>
      </w:r>
    </w:p>
    <w:p w14:paraId="063238D7" w14:textId="11A7FDC0" w:rsidR="00370C9E" w:rsidRDefault="00370C9E" w:rsidP="00370C9E">
      <w:pPr>
        <w:pStyle w:val="Paragraphedeliste"/>
        <w:jc w:val="both"/>
        <w:rPr>
          <w:rFonts w:ascii="Arial" w:hAnsi="Arial" w:cs="Arial"/>
          <w:sz w:val="20"/>
        </w:rPr>
      </w:pPr>
    </w:p>
    <w:p w14:paraId="4DF818CA" w14:textId="77777777" w:rsidR="008D7581" w:rsidRPr="008D7581" w:rsidRDefault="008D7581" w:rsidP="0029265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DBEF20" w14:textId="77777777" w:rsidR="008D7581" w:rsidRPr="008D7581" w:rsidRDefault="008D7581" w:rsidP="00292654">
      <w:pPr>
        <w:pBdr>
          <w:bottom w:val="dotted" w:sz="4" w:space="1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581">
        <w:rPr>
          <w:rFonts w:ascii="Arial" w:hAnsi="Arial" w:cs="Arial"/>
          <w:b/>
          <w:bCs/>
          <w:sz w:val="20"/>
          <w:szCs w:val="20"/>
        </w:rPr>
        <w:t>Exclusions</w:t>
      </w:r>
    </w:p>
    <w:p w14:paraId="2D716E20" w14:textId="77777777" w:rsidR="008D7581" w:rsidRPr="008D7581" w:rsidRDefault="008D7581" w:rsidP="0029265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D0F01E" w14:textId="3314EA56" w:rsidR="00BC45DE" w:rsidRPr="00444514" w:rsidRDefault="00BC45DE" w:rsidP="00BC45D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Sociétés civiles immobilières</w:t>
      </w:r>
    </w:p>
    <w:p w14:paraId="446EADB3" w14:textId="3ABE45B4" w:rsidR="00444514" w:rsidRPr="00C64CF5" w:rsidRDefault="00444514" w:rsidP="0044451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Associations non inscrites au </w:t>
      </w:r>
      <w:r w:rsidRPr="00444514">
        <w:rPr>
          <w:rFonts w:ascii="Arial" w:hAnsi="Arial" w:cs="Arial"/>
          <w:sz w:val="20"/>
          <w:szCs w:val="20"/>
        </w:rPr>
        <w:t xml:space="preserve">Registre du Commerce et des Sociétés </w:t>
      </w:r>
      <w:r>
        <w:rPr>
          <w:rFonts w:ascii="Arial" w:hAnsi="Arial" w:cs="Arial"/>
          <w:sz w:val="20"/>
          <w:szCs w:val="20"/>
        </w:rPr>
        <w:t>(RCS)</w:t>
      </w:r>
      <w:r w:rsidR="00F83BB9">
        <w:rPr>
          <w:rFonts w:ascii="Arial" w:hAnsi="Arial" w:cs="Arial"/>
          <w:sz w:val="20"/>
          <w:szCs w:val="20"/>
        </w:rPr>
        <w:t xml:space="preserve"> ou </w:t>
      </w:r>
      <w:r w:rsidR="00F83BB9" w:rsidRPr="00444514">
        <w:rPr>
          <w:rFonts w:ascii="Arial" w:hAnsi="Arial" w:cs="Arial"/>
          <w:sz w:val="20"/>
        </w:rPr>
        <w:t>Registre des Métiers (RM)</w:t>
      </w:r>
    </w:p>
    <w:p w14:paraId="70EEA1DD" w14:textId="75C7770A" w:rsidR="00C64CF5" w:rsidRPr="009F121F" w:rsidRDefault="00C64CF5" w:rsidP="00BC45D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Activités agricoles</w:t>
      </w:r>
    </w:p>
    <w:p w14:paraId="3B6F7236" w14:textId="1B2B4931" w:rsidR="00370C9E" w:rsidRPr="00BC45DE" w:rsidRDefault="00370C9E" w:rsidP="00370C9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726AF8">
        <w:rPr>
          <w:rFonts w:ascii="Arial" w:hAnsi="Arial" w:cs="Arial"/>
          <w:sz w:val="20"/>
          <w:szCs w:val="20"/>
        </w:rPr>
        <w:t>Secteurs d’activités ou catégories d’aides exclues par les régimes d’aides sur lesquels s’appuie le présent cadre d’intervention</w:t>
      </w:r>
      <w:bookmarkStart w:id="0" w:name="_GoBack"/>
      <w:bookmarkEnd w:id="0"/>
    </w:p>
    <w:p w14:paraId="075CE08A" w14:textId="77777777" w:rsidR="008D7581" w:rsidRPr="008D7581" w:rsidRDefault="008D7581" w:rsidP="0029265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F986F3" w14:textId="77777777" w:rsidR="008D7581" w:rsidRPr="008D7581" w:rsidRDefault="008D7581" w:rsidP="00292654">
      <w:pPr>
        <w:pBdr>
          <w:bottom w:val="dotted" w:sz="4" w:space="1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BAD92A" w14:textId="77777777" w:rsidR="008D7581" w:rsidRPr="008D7581" w:rsidRDefault="008D7581" w:rsidP="00292654">
      <w:pPr>
        <w:pBdr>
          <w:bottom w:val="dotted" w:sz="4" w:space="1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581">
        <w:rPr>
          <w:rFonts w:ascii="Arial" w:hAnsi="Arial" w:cs="Arial"/>
          <w:b/>
          <w:bCs/>
          <w:sz w:val="20"/>
          <w:szCs w:val="20"/>
        </w:rPr>
        <w:t>Nature des dépenses éligibles</w:t>
      </w:r>
    </w:p>
    <w:p w14:paraId="292A1124" w14:textId="77777777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949E91" w14:textId="7C2EB965" w:rsidR="00466B78" w:rsidRDefault="00466B78" w:rsidP="00BC45DE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Dans la limite des coûts admissibles au titre du régime d’aide applicable :</w:t>
      </w:r>
    </w:p>
    <w:p w14:paraId="678977E1" w14:textId="77777777" w:rsidR="00466B78" w:rsidRDefault="00466B78" w:rsidP="00BC45DE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9164847" w14:textId="4185B5CC" w:rsidR="005173E2" w:rsidRPr="00D769D0" w:rsidRDefault="00AB00A0" w:rsidP="00D769D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769D0">
        <w:rPr>
          <w:rFonts w:ascii="Arial" w:eastAsia="Calibri" w:hAnsi="Arial" w:cs="Arial"/>
          <w:sz w:val="20"/>
          <w:szCs w:val="20"/>
        </w:rPr>
        <w:t>Coût</w:t>
      </w:r>
      <w:r w:rsidR="00DF7F3F" w:rsidRPr="00D769D0">
        <w:rPr>
          <w:rFonts w:ascii="Arial" w:eastAsia="Calibri" w:hAnsi="Arial" w:cs="Arial"/>
          <w:sz w:val="20"/>
          <w:szCs w:val="20"/>
        </w:rPr>
        <w:t xml:space="preserve"> de</w:t>
      </w:r>
      <w:r w:rsidR="00466B78">
        <w:rPr>
          <w:rFonts w:ascii="Arial" w:eastAsia="Calibri" w:hAnsi="Arial" w:cs="Arial"/>
          <w:sz w:val="20"/>
          <w:szCs w:val="20"/>
        </w:rPr>
        <w:t xml:space="preserve"> réfection ou de remplacement des actifs de l’entreprise endommagés suite au sinistre</w:t>
      </w:r>
      <w:r w:rsidR="005C2326">
        <w:rPr>
          <w:rFonts w:ascii="Arial" w:eastAsia="Calibri" w:hAnsi="Arial" w:cs="Arial"/>
          <w:sz w:val="20"/>
          <w:szCs w:val="20"/>
        </w:rPr>
        <w:t xml:space="preserve"> pour reprendre l’activité</w:t>
      </w:r>
    </w:p>
    <w:p w14:paraId="1D06A391" w14:textId="77777777" w:rsidR="008D7581" w:rsidRPr="008D7581" w:rsidRDefault="008D7581" w:rsidP="00292654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2BDB5A3" w14:textId="77777777" w:rsidR="008D7581" w:rsidRPr="008D7581" w:rsidRDefault="008D7581" w:rsidP="002926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EDFE63" w14:textId="77777777" w:rsidR="008D7581" w:rsidRPr="008D7581" w:rsidRDefault="008D7581" w:rsidP="00292654">
      <w:pPr>
        <w:pBdr>
          <w:bottom w:val="dotted" w:sz="4" w:space="1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581">
        <w:rPr>
          <w:rFonts w:ascii="Arial" w:hAnsi="Arial" w:cs="Arial"/>
          <w:b/>
          <w:bCs/>
          <w:sz w:val="20"/>
          <w:szCs w:val="20"/>
        </w:rPr>
        <w:t>Caractéristiques de l’aide régionale</w:t>
      </w:r>
    </w:p>
    <w:p w14:paraId="5F450370" w14:textId="77777777" w:rsidR="008D7581" w:rsidRPr="008D7581" w:rsidRDefault="008D7581" w:rsidP="00292654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75A1D9F8" w14:textId="77777777" w:rsidR="008D7581" w:rsidRPr="008D7581" w:rsidRDefault="008D7581" w:rsidP="0029265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8D7581">
        <w:rPr>
          <w:rFonts w:ascii="Arial" w:hAnsi="Arial" w:cs="Arial"/>
          <w:sz w:val="20"/>
          <w:szCs w:val="20"/>
          <w:u w:val="single"/>
        </w:rPr>
        <w:t>Forme</w:t>
      </w:r>
    </w:p>
    <w:p w14:paraId="5D33E9B7" w14:textId="77777777" w:rsidR="008D7581" w:rsidRPr="008D7581" w:rsidRDefault="008D7581" w:rsidP="00292654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B99FD9B" w14:textId="7303ED50" w:rsidR="008D7581" w:rsidRPr="008D7581" w:rsidRDefault="00DF7F3F" w:rsidP="002926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L’aide prend la forme d’une subvention</w:t>
      </w:r>
      <w:r w:rsidR="00466B78">
        <w:rPr>
          <w:rFonts w:ascii="Arial" w:hAnsi="Arial" w:cs="Arial"/>
          <w:sz w:val="20"/>
          <w:szCs w:val="20"/>
        </w:rPr>
        <w:t xml:space="preserve"> d’investissement</w:t>
      </w:r>
      <w:r w:rsidR="008D7581" w:rsidRPr="008D7581">
        <w:rPr>
          <w:rFonts w:ascii="Arial" w:hAnsi="Arial" w:cs="Arial"/>
          <w:sz w:val="20"/>
          <w:szCs w:val="20"/>
        </w:rPr>
        <w:t>.</w:t>
      </w:r>
    </w:p>
    <w:p w14:paraId="4DA2DAE8" w14:textId="77777777" w:rsidR="008D7581" w:rsidRPr="008D7581" w:rsidRDefault="008D7581" w:rsidP="0029265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E320EED" w14:textId="46A0A0B2" w:rsidR="00050EF1" w:rsidRPr="00BC45DE" w:rsidRDefault="008D7581" w:rsidP="0029265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8D7581">
        <w:rPr>
          <w:rFonts w:ascii="Arial" w:hAnsi="Arial" w:cs="Arial"/>
          <w:sz w:val="20"/>
          <w:szCs w:val="20"/>
          <w:u w:val="single"/>
        </w:rPr>
        <w:t>Montant</w:t>
      </w:r>
      <w:r w:rsidR="005D7FAE" w:rsidRPr="00BC45DE">
        <w:rPr>
          <w:rFonts w:ascii="Arial" w:hAnsi="Arial" w:cs="Arial"/>
          <w:sz w:val="20"/>
          <w:szCs w:val="20"/>
          <w:u w:val="single"/>
        </w:rPr>
        <w:t xml:space="preserve"> </w:t>
      </w:r>
      <w:r w:rsidR="00AB00A0" w:rsidRPr="00BC45DE">
        <w:rPr>
          <w:rFonts w:ascii="Arial" w:hAnsi="Arial" w:cs="Arial"/>
          <w:sz w:val="20"/>
          <w:szCs w:val="20"/>
          <w:u w:val="single"/>
        </w:rPr>
        <w:t xml:space="preserve">et intensité </w:t>
      </w:r>
    </w:p>
    <w:p w14:paraId="7349464B" w14:textId="77777777" w:rsidR="00050EF1" w:rsidRDefault="00050EF1" w:rsidP="00292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417837" w14:textId="4282C461" w:rsidR="008D7581" w:rsidRDefault="00AB00A0" w:rsidP="00511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L’aide est fixée </w:t>
      </w:r>
      <w:r w:rsidR="003E0576">
        <w:rPr>
          <w:rFonts w:ascii="Arial" w:hAnsi="Arial" w:cs="Arial"/>
          <w:sz w:val="20"/>
          <w:szCs w:val="20"/>
        </w:rPr>
        <w:t xml:space="preserve">à </w:t>
      </w:r>
      <w:r w:rsidR="00F046B0">
        <w:rPr>
          <w:rFonts w:ascii="Arial" w:hAnsi="Arial" w:cs="Arial"/>
          <w:sz w:val="20"/>
          <w:szCs w:val="20"/>
        </w:rPr>
        <w:t xml:space="preserve">50 </w:t>
      </w:r>
      <w:r w:rsidR="003E0576">
        <w:rPr>
          <w:rFonts w:ascii="Arial" w:hAnsi="Arial" w:cs="Arial"/>
          <w:sz w:val="20"/>
          <w:szCs w:val="20"/>
        </w:rPr>
        <w:t>% d</w:t>
      </w:r>
      <w:r w:rsidR="00316CFA">
        <w:rPr>
          <w:rFonts w:ascii="Arial" w:hAnsi="Arial" w:cs="Arial"/>
          <w:sz w:val="20"/>
          <w:szCs w:val="20"/>
        </w:rPr>
        <w:t>u montant</w:t>
      </w:r>
      <w:r>
        <w:rPr>
          <w:rFonts w:ascii="Arial" w:hAnsi="Arial" w:cs="Arial"/>
          <w:sz w:val="20"/>
          <w:szCs w:val="20"/>
        </w:rPr>
        <w:t xml:space="preserve"> </w:t>
      </w:r>
      <w:r w:rsidR="00316CFA">
        <w:rPr>
          <w:rFonts w:ascii="Arial" w:hAnsi="Arial" w:cs="Arial"/>
          <w:sz w:val="20"/>
          <w:szCs w:val="20"/>
        </w:rPr>
        <w:t xml:space="preserve">de la franchise </w:t>
      </w:r>
      <w:r w:rsidR="00BC45DE">
        <w:rPr>
          <w:rFonts w:ascii="Arial" w:hAnsi="Arial" w:cs="Arial"/>
          <w:sz w:val="20"/>
          <w:szCs w:val="20"/>
        </w:rPr>
        <w:t>supportée par l’entreprise, dans la limite d’un montant de</w:t>
      </w:r>
      <w:r>
        <w:rPr>
          <w:rFonts w:ascii="Arial" w:hAnsi="Arial" w:cs="Arial"/>
          <w:sz w:val="20"/>
          <w:szCs w:val="20"/>
        </w:rPr>
        <w:t xml:space="preserve"> 5</w:t>
      </w:r>
      <w:r w:rsidR="00F046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000</w:t>
      </w:r>
      <w:r w:rsidR="00F04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€</w:t>
      </w:r>
      <w:r w:rsidR="005C2326">
        <w:rPr>
          <w:rFonts w:ascii="Arial" w:hAnsi="Arial" w:cs="Arial"/>
          <w:sz w:val="20"/>
          <w:szCs w:val="20"/>
        </w:rPr>
        <w:t xml:space="preserve"> de subvention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CAF097C" w14:textId="77777777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0B90F8" w14:textId="77777777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00C55968" w14:textId="0A775AE0" w:rsidR="008D7581" w:rsidRPr="008D7581" w:rsidRDefault="008D7581" w:rsidP="00292654">
      <w:pPr>
        <w:pBdr>
          <w:bottom w:val="dotted" w:sz="4" w:space="1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581">
        <w:rPr>
          <w:rFonts w:ascii="Arial" w:hAnsi="Arial" w:cs="Arial"/>
          <w:b/>
          <w:bCs/>
          <w:sz w:val="20"/>
          <w:szCs w:val="20"/>
        </w:rPr>
        <w:t xml:space="preserve">Modalités </w:t>
      </w:r>
      <w:r w:rsidR="00D170FA">
        <w:rPr>
          <w:rFonts w:ascii="Arial" w:hAnsi="Arial" w:cs="Arial"/>
          <w:b/>
          <w:bCs/>
          <w:sz w:val="20"/>
          <w:szCs w:val="20"/>
        </w:rPr>
        <w:t xml:space="preserve">de dépôt et </w:t>
      </w:r>
      <w:r w:rsidRPr="008D7581">
        <w:rPr>
          <w:rFonts w:ascii="Arial" w:hAnsi="Arial" w:cs="Arial"/>
          <w:b/>
          <w:bCs/>
          <w:sz w:val="20"/>
          <w:szCs w:val="20"/>
        </w:rPr>
        <w:t xml:space="preserve">instruction des demandes </w:t>
      </w:r>
    </w:p>
    <w:p w14:paraId="2E03A00F" w14:textId="77777777" w:rsidR="008D7581" w:rsidRPr="008D7581" w:rsidRDefault="008D7581" w:rsidP="00292654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DE0AE2A" w14:textId="7AD2EB16" w:rsidR="004002F2" w:rsidRDefault="008D758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7581">
        <w:rPr>
          <w:rFonts w:ascii="Arial" w:hAnsi="Arial" w:cs="Arial"/>
          <w:sz w:val="20"/>
          <w:szCs w:val="20"/>
        </w:rPr>
        <w:t xml:space="preserve">L’entreprise </w:t>
      </w:r>
      <w:r w:rsidR="00E73CFA">
        <w:rPr>
          <w:rFonts w:ascii="Arial" w:hAnsi="Arial" w:cs="Arial"/>
          <w:sz w:val="20"/>
          <w:szCs w:val="20"/>
        </w:rPr>
        <w:t xml:space="preserve">s’inscrit sur la plateforme d’aide en ligne de la Région. Elle </w:t>
      </w:r>
      <w:r w:rsidR="00933031">
        <w:rPr>
          <w:rFonts w:ascii="Arial" w:hAnsi="Arial" w:cs="Arial"/>
          <w:sz w:val="20"/>
          <w:szCs w:val="20"/>
        </w:rPr>
        <w:t>renseigne le form</w:t>
      </w:r>
      <w:r w:rsidR="00E73CFA">
        <w:rPr>
          <w:rFonts w:ascii="Arial" w:hAnsi="Arial" w:cs="Arial"/>
          <w:sz w:val="20"/>
          <w:szCs w:val="20"/>
        </w:rPr>
        <w:t>u</w:t>
      </w:r>
      <w:r w:rsidR="00933031">
        <w:rPr>
          <w:rFonts w:ascii="Arial" w:hAnsi="Arial" w:cs="Arial"/>
          <w:sz w:val="20"/>
          <w:szCs w:val="20"/>
        </w:rPr>
        <w:t xml:space="preserve">laire </w:t>
      </w:r>
      <w:r w:rsidR="00D170FA">
        <w:rPr>
          <w:rFonts w:ascii="Arial" w:hAnsi="Arial" w:cs="Arial"/>
          <w:sz w:val="20"/>
          <w:szCs w:val="20"/>
        </w:rPr>
        <w:t>et dépose les pièces nécessaires à la bonne complétude de son dossier</w:t>
      </w:r>
      <w:r w:rsidR="004002F2">
        <w:rPr>
          <w:rFonts w:ascii="Arial" w:hAnsi="Arial" w:cs="Arial"/>
          <w:sz w:val="20"/>
          <w:szCs w:val="20"/>
        </w:rPr>
        <w:t xml:space="preserve">. </w:t>
      </w:r>
    </w:p>
    <w:p w14:paraId="0C5C6767" w14:textId="0891A5BB" w:rsidR="004002F2" w:rsidRDefault="004002F2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D0212C" w14:textId="269377F0" w:rsidR="004002F2" w:rsidRDefault="004002F2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</w:t>
      </w:r>
      <w:r w:rsidR="00D170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F84561">
        <w:rPr>
          <w:rFonts w:ascii="Arial" w:hAnsi="Arial" w:cs="Arial"/>
          <w:sz w:val="20"/>
          <w:szCs w:val="20"/>
        </w:rPr>
        <w:t xml:space="preserve">ttestation </w:t>
      </w:r>
      <w:r>
        <w:rPr>
          <w:rFonts w:ascii="Arial" w:hAnsi="Arial" w:cs="Arial"/>
          <w:sz w:val="20"/>
          <w:szCs w:val="20"/>
        </w:rPr>
        <w:t xml:space="preserve">type sera à compléter par </w:t>
      </w:r>
      <w:r w:rsidR="00F84561">
        <w:rPr>
          <w:rFonts w:ascii="Arial" w:hAnsi="Arial" w:cs="Arial"/>
          <w:sz w:val="20"/>
          <w:szCs w:val="20"/>
        </w:rPr>
        <w:t xml:space="preserve">l’assurance </w:t>
      </w:r>
      <w:r>
        <w:rPr>
          <w:rFonts w:ascii="Arial" w:hAnsi="Arial" w:cs="Arial"/>
          <w:sz w:val="20"/>
          <w:szCs w:val="20"/>
        </w:rPr>
        <w:t>indiquant :</w:t>
      </w:r>
    </w:p>
    <w:p w14:paraId="384CAD4F" w14:textId="57DF076C" w:rsidR="004002F2" w:rsidRDefault="00F84561" w:rsidP="00810F8C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10F8C">
        <w:rPr>
          <w:rFonts w:ascii="Arial" w:hAnsi="Arial" w:cs="Arial"/>
          <w:sz w:val="20"/>
          <w:szCs w:val="20"/>
        </w:rPr>
        <w:t>le</w:t>
      </w:r>
      <w:proofErr w:type="gramEnd"/>
      <w:r w:rsidRPr="00810F8C">
        <w:rPr>
          <w:rFonts w:ascii="Arial" w:hAnsi="Arial" w:cs="Arial"/>
          <w:sz w:val="20"/>
          <w:szCs w:val="20"/>
        </w:rPr>
        <w:t xml:space="preserve"> dépôt de la déclaration de sinistre</w:t>
      </w:r>
      <w:r w:rsidR="00D170FA" w:rsidRPr="00810F8C">
        <w:rPr>
          <w:rFonts w:ascii="Arial" w:hAnsi="Arial" w:cs="Arial"/>
          <w:sz w:val="20"/>
          <w:szCs w:val="20"/>
        </w:rPr>
        <w:t xml:space="preserve"> </w:t>
      </w:r>
      <w:r w:rsidR="004002F2">
        <w:rPr>
          <w:rFonts w:ascii="Arial" w:hAnsi="Arial" w:cs="Arial"/>
          <w:sz w:val="20"/>
          <w:szCs w:val="20"/>
        </w:rPr>
        <w:t xml:space="preserve">en lien avec </w:t>
      </w:r>
      <w:r w:rsidR="007F61FE">
        <w:rPr>
          <w:rFonts w:ascii="Arial" w:hAnsi="Arial" w:cs="Arial"/>
          <w:sz w:val="20"/>
          <w:szCs w:val="20"/>
        </w:rPr>
        <w:t xml:space="preserve">les </w:t>
      </w:r>
      <w:r w:rsidR="004002F2">
        <w:rPr>
          <w:rFonts w:ascii="Arial" w:eastAsia="Calibri" w:hAnsi="Arial" w:cs="Arial"/>
          <w:sz w:val="20"/>
          <w:szCs w:val="20"/>
        </w:rPr>
        <w:t xml:space="preserve">inondations survenues </w:t>
      </w:r>
      <w:r w:rsidR="007F61FE">
        <w:rPr>
          <w:rFonts w:ascii="Arial" w:eastAsia="Calibri" w:hAnsi="Arial" w:cs="Arial"/>
          <w:sz w:val="20"/>
          <w:szCs w:val="20"/>
        </w:rPr>
        <w:t xml:space="preserve">fin 2023 et début 2024, </w:t>
      </w:r>
      <w:r w:rsidR="004002F2">
        <w:rPr>
          <w:rFonts w:ascii="Arial" w:eastAsia="Calibri" w:hAnsi="Arial" w:cs="Arial"/>
          <w:sz w:val="20"/>
          <w:szCs w:val="20"/>
        </w:rPr>
        <w:t>dans la période reconnue état de catastrophe naturelle</w:t>
      </w:r>
    </w:p>
    <w:p w14:paraId="153CB6D0" w14:textId="14A6785A" w:rsidR="00466B78" w:rsidRPr="00D769D0" w:rsidRDefault="0032549F" w:rsidP="006E29A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10F8C">
        <w:rPr>
          <w:rFonts w:ascii="Arial" w:hAnsi="Arial" w:cs="Arial"/>
          <w:sz w:val="20"/>
          <w:szCs w:val="20"/>
        </w:rPr>
        <w:t>le</w:t>
      </w:r>
      <w:proofErr w:type="gramEnd"/>
      <w:r w:rsidRPr="00810F8C">
        <w:rPr>
          <w:rFonts w:ascii="Arial" w:hAnsi="Arial" w:cs="Arial"/>
          <w:sz w:val="20"/>
          <w:szCs w:val="20"/>
        </w:rPr>
        <w:t xml:space="preserve"> montant de la franchise restant à la charge de l’entreprise</w:t>
      </w:r>
      <w:r w:rsidR="007F61FE">
        <w:rPr>
          <w:rFonts w:ascii="Arial" w:hAnsi="Arial" w:cs="Arial"/>
          <w:sz w:val="20"/>
          <w:szCs w:val="20"/>
        </w:rPr>
        <w:t xml:space="preserve"> </w:t>
      </w:r>
      <w:r w:rsidR="007F61FE" w:rsidRPr="00810F8C">
        <w:rPr>
          <w:rFonts w:ascii="Arial" w:eastAsia="Calibri" w:hAnsi="Arial" w:cs="Arial"/>
          <w:sz w:val="20"/>
          <w:szCs w:val="20"/>
        </w:rPr>
        <w:t>pour l</w:t>
      </w:r>
      <w:r w:rsidR="007F61FE">
        <w:rPr>
          <w:rFonts w:ascii="Arial" w:eastAsia="Calibri" w:hAnsi="Arial" w:cs="Arial"/>
          <w:sz w:val="20"/>
          <w:szCs w:val="20"/>
        </w:rPr>
        <w:t xml:space="preserve">es dommages directs causés aux biens </w:t>
      </w:r>
      <w:r w:rsidR="007F61FE" w:rsidRPr="00810F8C">
        <w:rPr>
          <w:rFonts w:ascii="Arial" w:eastAsia="Calibri" w:hAnsi="Arial" w:cs="Arial"/>
          <w:sz w:val="20"/>
          <w:szCs w:val="20"/>
        </w:rPr>
        <w:t>assurés</w:t>
      </w:r>
      <w:r w:rsidR="00933031" w:rsidRPr="00810F8C">
        <w:rPr>
          <w:rFonts w:ascii="Arial" w:hAnsi="Arial" w:cs="Arial"/>
          <w:sz w:val="20"/>
          <w:szCs w:val="20"/>
        </w:rPr>
        <w:t>.</w:t>
      </w:r>
    </w:p>
    <w:p w14:paraId="30166BCB" w14:textId="77777777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D5B5A" w14:textId="6788506D" w:rsidR="00D170FA" w:rsidRDefault="00D170FA" w:rsidP="00D17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fois l</w:t>
      </w:r>
      <w:r w:rsidRPr="008D7581">
        <w:rPr>
          <w:rFonts w:ascii="Arial" w:hAnsi="Arial" w:cs="Arial"/>
          <w:sz w:val="20"/>
          <w:szCs w:val="20"/>
        </w:rPr>
        <w:t xml:space="preserve">e dossier complet, </w:t>
      </w:r>
      <w:r>
        <w:rPr>
          <w:rFonts w:ascii="Arial" w:hAnsi="Arial" w:cs="Arial"/>
          <w:sz w:val="20"/>
          <w:szCs w:val="20"/>
        </w:rPr>
        <w:t xml:space="preserve">et après instruction par </w:t>
      </w:r>
      <w:r w:rsidRPr="008D7581">
        <w:rPr>
          <w:rFonts w:ascii="Arial" w:hAnsi="Arial" w:cs="Arial"/>
          <w:sz w:val="20"/>
          <w:szCs w:val="20"/>
        </w:rPr>
        <w:t>les services de la Région</w:t>
      </w:r>
      <w:r>
        <w:rPr>
          <w:rFonts w:ascii="Arial" w:hAnsi="Arial" w:cs="Arial"/>
          <w:sz w:val="20"/>
          <w:szCs w:val="20"/>
        </w:rPr>
        <w:t>, la décision d’attribution est prise par le Président du Conseil régional en application du présent cadre</w:t>
      </w:r>
      <w:r w:rsidR="0032549F">
        <w:rPr>
          <w:rFonts w:ascii="Arial" w:hAnsi="Arial" w:cs="Arial"/>
          <w:sz w:val="20"/>
          <w:szCs w:val="20"/>
        </w:rPr>
        <w:t xml:space="preserve"> sous forme d’Arrêté individuel</w:t>
      </w:r>
      <w:r>
        <w:rPr>
          <w:rFonts w:ascii="Arial" w:hAnsi="Arial" w:cs="Arial"/>
          <w:sz w:val="20"/>
          <w:szCs w:val="20"/>
        </w:rPr>
        <w:t>.</w:t>
      </w:r>
    </w:p>
    <w:p w14:paraId="73824414" w14:textId="71958035" w:rsidR="00476678" w:rsidRDefault="00476678" w:rsidP="00D17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645CA1" w14:textId="52338049" w:rsidR="00476678" w:rsidRDefault="00476678" w:rsidP="00D17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versement de l’aide est effectué en une fois</w:t>
      </w:r>
      <w:r w:rsidR="00593AF4">
        <w:rPr>
          <w:rFonts w:ascii="Arial" w:hAnsi="Arial" w:cs="Arial"/>
          <w:sz w:val="20"/>
          <w:szCs w:val="20"/>
        </w:rPr>
        <w:t xml:space="preserve"> à compter de l’entrée en vigueur de l’acte attributif.</w:t>
      </w:r>
    </w:p>
    <w:p w14:paraId="0531B407" w14:textId="209C8276" w:rsidR="008D7581" w:rsidRPr="008D7581" w:rsidRDefault="008D758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924ECB" w14:textId="77777777" w:rsidR="00837FBA" w:rsidRPr="008D7581" w:rsidRDefault="00837FBA" w:rsidP="0029265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39C847" w14:textId="77777777" w:rsidR="008D7581" w:rsidRPr="008D7581" w:rsidRDefault="008D7581" w:rsidP="00292654">
      <w:pPr>
        <w:pBdr>
          <w:bottom w:val="dotted" w:sz="4" w:space="1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581">
        <w:rPr>
          <w:rFonts w:ascii="Arial" w:hAnsi="Arial" w:cs="Arial"/>
          <w:b/>
          <w:bCs/>
          <w:sz w:val="20"/>
          <w:szCs w:val="20"/>
        </w:rPr>
        <w:t>Fondements juridiques</w:t>
      </w:r>
    </w:p>
    <w:p w14:paraId="55C52DE0" w14:textId="77777777" w:rsidR="008D7581" w:rsidRPr="008D7581" w:rsidRDefault="008D7581" w:rsidP="0029265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7DBB4D" w14:textId="77777777" w:rsidR="008D7581" w:rsidRPr="006D248F" w:rsidRDefault="008D7581" w:rsidP="00292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7FB84D" w14:textId="77777777" w:rsidR="006D248F" w:rsidRPr="006D248F" w:rsidRDefault="006D248F" w:rsidP="006D248F">
      <w:pPr>
        <w:pStyle w:val="Paragraphedeliste"/>
        <w:numPr>
          <w:ilvl w:val="0"/>
          <w:numId w:val="18"/>
        </w:num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6D248F">
        <w:rPr>
          <w:rFonts w:ascii="Arial" w:eastAsia="Calibri" w:hAnsi="Arial" w:cs="Arial"/>
          <w:sz w:val="20"/>
          <w:szCs w:val="20"/>
        </w:rPr>
        <w:t xml:space="preserve">Article L1511-2 du Code Général des Collectivités Territoriales </w:t>
      </w:r>
    </w:p>
    <w:p w14:paraId="66CE2C99" w14:textId="47DC9C2E" w:rsidR="006D248F" w:rsidRPr="006D248F" w:rsidRDefault="006D248F" w:rsidP="006D248F">
      <w:pPr>
        <w:pStyle w:val="Paragraphedeliste"/>
        <w:numPr>
          <w:ilvl w:val="0"/>
          <w:numId w:val="18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6D248F">
        <w:rPr>
          <w:rFonts w:ascii="Arial" w:eastAsia="Calibri" w:hAnsi="Arial" w:cs="Arial"/>
          <w:sz w:val="20"/>
          <w:szCs w:val="20"/>
        </w:rPr>
        <w:t>Régime cadre exempté de notification N° SA.</w:t>
      </w:r>
      <w:r w:rsidR="00DD0F57">
        <w:rPr>
          <w:rFonts w:ascii="Arial" w:eastAsia="Calibri" w:hAnsi="Arial" w:cs="Arial"/>
          <w:sz w:val="20"/>
          <w:szCs w:val="20"/>
        </w:rPr>
        <w:t>111116</w:t>
      </w:r>
      <w:r w:rsidR="00DD0F57" w:rsidRPr="006D248F">
        <w:rPr>
          <w:rFonts w:ascii="Arial" w:eastAsia="Calibri" w:hAnsi="Arial" w:cs="Arial"/>
          <w:sz w:val="20"/>
          <w:szCs w:val="20"/>
        </w:rPr>
        <w:t xml:space="preserve"> </w:t>
      </w:r>
      <w:r w:rsidRPr="006D248F">
        <w:rPr>
          <w:rFonts w:ascii="Arial" w:eastAsia="Calibri" w:hAnsi="Arial" w:cs="Arial"/>
          <w:sz w:val="20"/>
          <w:szCs w:val="20"/>
        </w:rPr>
        <w:t xml:space="preserve">relatif aux aides destinées à remédier aux dommages causés par certaines calamités naturelles pour la période </w:t>
      </w:r>
      <w:r w:rsidR="00DD0F57" w:rsidRPr="006D248F">
        <w:rPr>
          <w:rFonts w:ascii="Arial" w:eastAsia="Calibri" w:hAnsi="Arial" w:cs="Arial"/>
          <w:sz w:val="20"/>
          <w:szCs w:val="20"/>
        </w:rPr>
        <w:t>20</w:t>
      </w:r>
      <w:r w:rsidR="00DD0F57">
        <w:rPr>
          <w:rFonts w:ascii="Arial" w:eastAsia="Calibri" w:hAnsi="Arial" w:cs="Arial"/>
          <w:sz w:val="20"/>
          <w:szCs w:val="20"/>
        </w:rPr>
        <w:t>24</w:t>
      </w:r>
      <w:r w:rsidRPr="006D248F">
        <w:rPr>
          <w:rFonts w:ascii="Arial" w:eastAsia="Calibri" w:hAnsi="Arial" w:cs="Arial"/>
          <w:sz w:val="20"/>
          <w:szCs w:val="20"/>
        </w:rPr>
        <w:t>-202</w:t>
      </w:r>
      <w:r w:rsidR="00DD0F57">
        <w:rPr>
          <w:rFonts w:ascii="Arial" w:eastAsia="Calibri" w:hAnsi="Arial" w:cs="Arial"/>
          <w:sz w:val="20"/>
          <w:szCs w:val="20"/>
        </w:rPr>
        <w:t>6</w:t>
      </w:r>
      <w:r w:rsidRPr="006D248F">
        <w:rPr>
          <w:rFonts w:ascii="Arial" w:eastAsia="Calibri" w:hAnsi="Arial" w:cs="Arial"/>
          <w:sz w:val="20"/>
          <w:szCs w:val="20"/>
        </w:rPr>
        <w:t xml:space="preserve"> adopté sur la base du règlement général d’exemption par catégorie n° 651/2014 de la Commission européenne, publié au JOUE du 26 juin 2014, tel que modifié par les règlements </w:t>
      </w:r>
      <w:r w:rsidRPr="006D248F">
        <w:rPr>
          <w:rFonts w:ascii="Arial" w:eastAsia="Times New Roman" w:hAnsi="Arial" w:cs="Arial"/>
          <w:sz w:val="20"/>
          <w:szCs w:val="20"/>
        </w:rPr>
        <w:t>2017/1084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du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14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juin</w:t>
      </w:r>
      <w:r w:rsidRPr="006D248F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2017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publié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au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JOUE</w:t>
      </w:r>
      <w:r w:rsidRPr="006D248F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du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20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juin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2017,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2020/972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du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2</w:t>
      </w:r>
      <w:r w:rsidRPr="006D248F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juillet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2020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publié</w:t>
      </w:r>
      <w:r w:rsidRPr="006D248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au JOUE du 7 juillet</w:t>
      </w:r>
      <w:r w:rsidRPr="006D248F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6D248F">
        <w:rPr>
          <w:rFonts w:ascii="Arial" w:eastAsia="Times New Roman" w:hAnsi="Arial" w:cs="Arial"/>
          <w:sz w:val="20"/>
          <w:szCs w:val="20"/>
        </w:rPr>
        <w:t>2020,</w:t>
      </w:r>
      <w:r w:rsidRPr="006D248F">
        <w:rPr>
          <w:rFonts w:ascii="Arial" w:eastAsia="Times New Roman" w:hAnsi="Arial" w:cs="Arial"/>
          <w:spacing w:val="3"/>
          <w:sz w:val="20"/>
          <w:szCs w:val="20"/>
        </w:rPr>
        <w:t xml:space="preserve"> 2021/1237 du 23 juillet 2021</w:t>
      </w:r>
      <w:r w:rsidRPr="006D248F">
        <w:rPr>
          <w:rFonts w:ascii="Arial" w:eastAsia="Times New Roman" w:hAnsi="Arial" w:cs="Arial"/>
          <w:sz w:val="20"/>
          <w:szCs w:val="20"/>
        </w:rPr>
        <w:t xml:space="preserve"> et 2023/1315 du 23 juin 2023 </w:t>
      </w:r>
      <w:r w:rsidRPr="006D248F">
        <w:rPr>
          <w:rFonts w:ascii="Arial" w:eastAsia="Times New Roman" w:hAnsi="Arial" w:cs="Arial"/>
          <w:iCs/>
          <w:sz w:val="20"/>
          <w:szCs w:val="20"/>
        </w:rPr>
        <w:t>publié au JOUE du 30 juin 2023</w:t>
      </w:r>
    </w:p>
    <w:p w14:paraId="52429ABD" w14:textId="23B83163" w:rsidR="00F46D5F" w:rsidRDefault="00F46D5F" w:rsidP="006D248F">
      <w:pPr>
        <w:pStyle w:val="Paragraphedeliste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C4B6DF7" w14:textId="31D7C7FC" w:rsidR="00CF5172" w:rsidRDefault="00CF5172" w:rsidP="006D248F">
      <w:pPr>
        <w:pStyle w:val="Paragraphedeliste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E1FCD90" w14:textId="0B3AF4F2" w:rsidR="00CF5172" w:rsidRDefault="00CF5172" w:rsidP="006D248F">
      <w:pPr>
        <w:pStyle w:val="Paragraphedeliste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CF983A3" w14:textId="45AC8BDE" w:rsidR="005B6617" w:rsidRPr="00EA1B26" w:rsidRDefault="005B6617" w:rsidP="006D248F">
      <w:pPr>
        <w:pStyle w:val="Paragraphedeliste"/>
        <w:spacing w:after="0" w:line="240" w:lineRule="auto"/>
        <w:ind w:left="70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5B6617" w:rsidRPr="00EA1B26" w:rsidSect="008D758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3AD75" w14:textId="77777777" w:rsidR="007F205B" w:rsidRDefault="007F205B" w:rsidP="009A1A84">
      <w:pPr>
        <w:spacing w:after="0" w:line="240" w:lineRule="auto"/>
      </w:pPr>
      <w:r>
        <w:separator/>
      </w:r>
    </w:p>
  </w:endnote>
  <w:endnote w:type="continuationSeparator" w:id="0">
    <w:p w14:paraId="376E822C" w14:textId="77777777" w:rsidR="007F205B" w:rsidRDefault="007F205B" w:rsidP="009A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7FDA" w14:textId="6A4762B6" w:rsidR="00B4209C" w:rsidRDefault="00FB0466" w:rsidP="00DA63DC">
    <w:pPr>
      <w:pStyle w:val="Pieddepage"/>
    </w:pPr>
    <w:sdt>
      <w:sdtPr>
        <w:id w:val="-550926575"/>
        <w:docPartObj>
          <w:docPartGallery w:val="Page Numbers (Bottom of Page)"/>
          <w:docPartUnique/>
        </w:docPartObj>
      </w:sdtPr>
      <w:sdtEndPr/>
      <w:sdtContent>
        <w:r w:rsidR="00B4209C">
          <w:fldChar w:fldCharType="begin"/>
        </w:r>
        <w:r w:rsidR="00B4209C">
          <w:instrText>PAGE   \* MERGEFORMAT</w:instrText>
        </w:r>
        <w:r w:rsidR="00B4209C">
          <w:fldChar w:fldCharType="separate"/>
        </w:r>
        <w:r>
          <w:rPr>
            <w:noProof/>
          </w:rPr>
          <w:t>2</w:t>
        </w:r>
        <w:r w:rsidR="00B4209C">
          <w:fldChar w:fldCharType="end"/>
        </w:r>
      </w:sdtContent>
    </w:sdt>
  </w:p>
  <w:p w14:paraId="339BACB5" w14:textId="77777777" w:rsidR="00B4209C" w:rsidRDefault="00B420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C8E64" w14:textId="77777777" w:rsidR="007F205B" w:rsidRDefault="007F205B" w:rsidP="009A1A84">
      <w:pPr>
        <w:spacing w:after="0" w:line="240" w:lineRule="auto"/>
      </w:pPr>
      <w:r>
        <w:separator/>
      </w:r>
    </w:p>
  </w:footnote>
  <w:footnote w:type="continuationSeparator" w:id="0">
    <w:p w14:paraId="750DD42F" w14:textId="77777777" w:rsidR="007F205B" w:rsidRDefault="007F205B" w:rsidP="009A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462"/>
    <w:multiLevelType w:val="hybridMultilevel"/>
    <w:tmpl w:val="0ECE7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D6D"/>
    <w:multiLevelType w:val="hybridMultilevel"/>
    <w:tmpl w:val="696CE8A8"/>
    <w:lvl w:ilvl="0" w:tplc="B04CD8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4C6"/>
    <w:multiLevelType w:val="hybridMultilevel"/>
    <w:tmpl w:val="2A64882E"/>
    <w:lvl w:ilvl="0" w:tplc="B04CD8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52D"/>
    <w:multiLevelType w:val="hybridMultilevel"/>
    <w:tmpl w:val="0D361E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5D4"/>
    <w:multiLevelType w:val="hybridMultilevel"/>
    <w:tmpl w:val="E00A96A4"/>
    <w:lvl w:ilvl="0" w:tplc="5D200E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4245"/>
    <w:multiLevelType w:val="hybridMultilevel"/>
    <w:tmpl w:val="CA2A2D1A"/>
    <w:lvl w:ilvl="0" w:tplc="EEE0B0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7939"/>
    <w:multiLevelType w:val="hybridMultilevel"/>
    <w:tmpl w:val="CC265A4C"/>
    <w:lvl w:ilvl="0" w:tplc="927C0F9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B73618"/>
    <w:multiLevelType w:val="hybridMultilevel"/>
    <w:tmpl w:val="41B076BE"/>
    <w:lvl w:ilvl="0" w:tplc="B04CD85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1D0FD3"/>
    <w:multiLevelType w:val="hybridMultilevel"/>
    <w:tmpl w:val="AC9EB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13445"/>
    <w:multiLevelType w:val="hybridMultilevel"/>
    <w:tmpl w:val="98BCE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946DD"/>
    <w:multiLevelType w:val="hybridMultilevel"/>
    <w:tmpl w:val="7A9AD54C"/>
    <w:lvl w:ilvl="0" w:tplc="B04CD8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B3787"/>
    <w:multiLevelType w:val="hybridMultilevel"/>
    <w:tmpl w:val="4DF89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5290"/>
    <w:multiLevelType w:val="hybridMultilevel"/>
    <w:tmpl w:val="DCF2B686"/>
    <w:lvl w:ilvl="0" w:tplc="B04CD8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75A1D"/>
    <w:multiLevelType w:val="hybridMultilevel"/>
    <w:tmpl w:val="B4383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61AE5"/>
    <w:multiLevelType w:val="hybridMultilevel"/>
    <w:tmpl w:val="15940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21F8"/>
    <w:multiLevelType w:val="hybridMultilevel"/>
    <w:tmpl w:val="B7D62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A3395"/>
    <w:multiLevelType w:val="hybridMultilevel"/>
    <w:tmpl w:val="45C4B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172AA"/>
    <w:multiLevelType w:val="hybridMultilevel"/>
    <w:tmpl w:val="83B081BE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724C2FAE"/>
    <w:multiLevelType w:val="hybridMultilevel"/>
    <w:tmpl w:val="C6820036"/>
    <w:lvl w:ilvl="0" w:tplc="B04CD8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24B8F"/>
    <w:multiLevelType w:val="hybridMultilevel"/>
    <w:tmpl w:val="ECCCF93E"/>
    <w:lvl w:ilvl="0" w:tplc="B180E81A">
      <w:start w:val="3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1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0"/>
  </w:num>
  <w:num w:numId="17">
    <w:abstractNumId w:val="17"/>
  </w:num>
  <w:num w:numId="18">
    <w:abstractNumId w:val="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68"/>
    <w:rsid w:val="0000598C"/>
    <w:rsid w:val="00027701"/>
    <w:rsid w:val="00050023"/>
    <w:rsid w:val="00050EF1"/>
    <w:rsid w:val="00074248"/>
    <w:rsid w:val="00077562"/>
    <w:rsid w:val="000B1B1C"/>
    <w:rsid w:val="000F3017"/>
    <w:rsid w:val="0011156C"/>
    <w:rsid w:val="001342B5"/>
    <w:rsid w:val="00161AEF"/>
    <w:rsid w:val="00172B2A"/>
    <w:rsid w:val="00173227"/>
    <w:rsid w:val="001D7C23"/>
    <w:rsid w:val="001E3837"/>
    <w:rsid w:val="00260478"/>
    <w:rsid w:val="00260944"/>
    <w:rsid w:val="00277880"/>
    <w:rsid w:val="00292654"/>
    <w:rsid w:val="002B4256"/>
    <w:rsid w:val="002B608B"/>
    <w:rsid w:val="002B6F94"/>
    <w:rsid w:val="002B6FB6"/>
    <w:rsid w:val="002E1813"/>
    <w:rsid w:val="002E4617"/>
    <w:rsid w:val="002E7AE5"/>
    <w:rsid w:val="00316CFA"/>
    <w:rsid w:val="0032549F"/>
    <w:rsid w:val="0035084B"/>
    <w:rsid w:val="0036422D"/>
    <w:rsid w:val="00370C9E"/>
    <w:rsid w:val="00394244"/>
    <w:rsid w:val="003D7A65"/>
    <w:rsid w:val="003E0576"/>
    <w:rsid w:val="003E5512"/>
    <w:rsid w:val="004002F2"/>
    <w:rsid w:val="00437F2A"/>
    <w:rsid w:val="00444514"/>
    <w:rsid w:val="00457A3C"/>
    <w:rsid w:val="00466B78"/>
    <w:rsid w:val="00476678"/>
    <w:rsid w:val="004A09E9"/>
    <w:rsid w:val="004B2C3F"/>
    <w:rsid w:val="004B3BE2"/>
    <w:rsid w:val="004C4DCD"/>
    <w:rsid w:val="004E18EB"/>
    <w:rsid w:val="004F054C"/>
    <w:rsid w:val="004F0C0E"/>
    <w:rsid w:val="004F3CA8"/>
    <w:rsid w:val="00501460"/>
    <w:rsid w:val="00504403"/>
    <w:rsid w:val="0050546B"/>
    <w:rsid w:val="00511EC2"/>
    <w:rsid w:val="005173E2"/>
    <w:rsid w:val="00556624"/>
    <w:rsid w:val="00593AF4"/>
    <w:rsid w:val="005B2A28"/>
    <w:rsid w:val="005B6617"/>
    <w:rsid w:val="005C2326"/>
    <w:rsid w:val="005D67BE"/>
    <w:rsid w:val="005D7FAE"/>
    <w:rsid w:val="005E4E74"/>
    <w:rsid w:val="005F4415"/>
    <w:rsid w:val="00601047"/>
    <w:rsid w:val="00610D41"/>
    <w:rsid w:val="006156C1"/>
    <w:rsid w:val="00615823"/>
    <w:rsid w:val="00634589"/>
    <w:rsid w:val="00647AAA"/>
    <w:rsid w:val="00656799"/>
    <w:rsid w:val="0066682B"/>
    <w:rsid w:val="006A364A"/>
    <w:rsid w:val="006B6B03"/>
    <w:rsid w:val="006D248F"/>
    <w:rsid w:val="006E29A2"/>
    <w:rsid w:val="006E58E5"/>
    <w:rsid w:val="00700A2F"/>
    <w:rsid w:val="00714F47"/>
    <w:rsid w:val="00722A14"/>
    <w:rsid w:val="00766294"/>
    <w:rsid w:val="0077663E"/>
    <w:rsid w:val="00777BE1"/>
    <w:rsid w:val="00782527"/>
    <w:rsid w:val="00786545"/>
    <w:rsid w:val="007A16C8"/>
    <w:rsid w:val="007B6638"/>
    <w:rsid w:val="007C41E9"/>
    <w:rsid w:val="007D64F1"/>
    <w:rsid w:val="007F205B"/>
    <w:rsid w:val="007F61FE"/>
    <w:rsid w:val="00810F8C"/>
    <w:rsid w:val="00811A88"/>
    <w:rsid w:val="00812B0C"/>
    <w:rsid w:val="00827975"/>
    <w:rsid w:val="00833E80"/>
    <w:rsid w:val="00837FBA"/>
    <w:rsid w:val="00851331"/>
    <w:rsid w:val="008B742D"/>
    <w:rsid w:val="008D7581"/>
    <w:rsid w:val="008E3371"/>
    <w:rsid w:val="009240FC"/>
    <w:rsid w:val="00933031"/>
    <w:rsid w:val="00947547"/>
    <w:rsid w:val="0097181C"/>
    <w:rsid w:val="00981C7A"/>
    <w:rsid w:val="00984568"/>
    <w:rsid w:val="009A1A84"/>
    <w:rsid w:val="009D2894"/>
    <w:rsid w:val="00A149EB"/>
    <w:rsid w:val="00A358BB"/>
    <w:rsid w:val="00A53819"/>
    <w:rsid w:val="00AB00A0"/>
    <w:rsid w:val="00AB3FC9"/>
    <w:rsid w:val="00AF6513"/>
    <w:rsid w:val="00AF7E1B"/>
    <w:rsid w:val="00B053BC"/>
    <w:rsid w:val="00B12088"/>
    <w:rsid w:val="00B1489D"/>
    <w:rsid w:val="00B35169"/>
    <w:rsid w:val="00B4209C"/>
    <w:rsid w:val="00B50ADC"/>
    <w:rsid w:val="00B57AC8"/>
    <w:rsid w:val="00B85124"/>
    <w:rsid w:val="00B85434"/>
    <w:rsid w:val="00B953DD"/>
    <w:rsid w:val="00BC45DE"/>
    <w:rsid w:val="00BD4E73"/>
    <w:rsid w:val="00BD676D"/>
    <w:rsid w:val="00BF64FF"/>
    <w:rsid w:val="00C00C76"/>
    <w:rsid w:val="00C03B41"/>
    <w:rsid w:val="00C25591"/>
    <w:rsid w:val="00C45E41"/>
    <w:rsid w:val="00C47981"/>
    <w:rsid w:val="00C64CF5"/>
    <w:rsid w:val="00C741AD"/>
    <w:rsid w:val="00C822A5"/>
    <w:rsid w:val="00C86BAC"/>
    <w:rsid w:val="00CC3228"/>
    <w:rsid w:val="00CD7520"/>
    <w:rsid w:val="00CD7C8D"/>
    <w:rsid w:val="00CE1797"/>
    <w:rsid w:val="00CF5172"/>
    <w:rsid w:val="00D002DE"/>
    <w:rsid w:val="00D058E8"/>
    <w:rsid w:val="00D111BD"/>
    <w:rsid w:val="00D170FA"/>
    <w:rsid w:val="00D26AA9"/>
    <w:rsid w:val="00D6762F"/>
    <w:rsid w:val="00D769D0"/>
    <w:rsid w:val="00D96E0A"/>
    <w:rsid w:val="00DA63DC"/>
    <w:rsid w:val="00DC11E2"/>
    <w:rsid w:val="00DD0F57"/>
    <w:rsid w:val="00DD4BA2"/>
    <w:rsid w:val="00DF7F3F"/>
    <w:rsid w:val="00E02BFB"/>
    <w:rsid w:val="00E362E2"/>
    <w:rsid w:val="00E51110"/>
    <w:rsid w:val="00E73CFA"/>
    <w:rsid w:val="00E84805"/>
    <w:rsid w:val="00E860B8"/>
    <w:rsid w:val="00EA1B26"/>
    <w:rsid w:val="00EB11EC"/>
    <w:rsid w:val="00ED1D9F"/>
    <w:rsid w:val="00ED71E4"/>
    <w:rsid w:val="00F046B0"/>
    <w:rsid w:val="00F31581"/>
    <w:rsid w:val="00F46D5F"/>
    <w:rsid w:val="00F52A5D"/>
    <w:rsid w:val="00F83BB9"/>
    <w:rsid w:val="00F84561"/>
    <w:rsid w:val="00F846A6"/>
    <w:rsid w:val="00FB0466"/>
    <w:rsid w:val="00FB333B"/>
    <w:rsid w:val="00FC3618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ACDDDF"/>
  <w15:chartTrackingRefBased/>
  <w15:docId w15:val="{C3510C6C-7F7B-42B8-9B52-572CF9B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58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33E8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33E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33E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3E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3E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E8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22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78654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A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A84"/>
  </w:style>
  <w:style w:type="paragraph" w:styleId="Pieddepage">
    <w:name w:val="footer"/>
    <w:basedOn w:val="Normal"/>
    <w:link w:val="PieddepageCar"/>
    <w:uiPriority w:val="99"/>
    <w:unhideWhenUsed/>
    <w:rsid w:val="009A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B3D7-08EB-4733-BD64-9DC8E333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BELLAHCENE Naïma</dc:creator>
  <cp:keywords/>
  <dc:description/>
  <cp:lastModifiedBy>JAROSZ Hélène</cp:lastModifiedBy>
  <cp:revision>3</cp:revision>
  <cp:lastPrinted>2024-01-16T15:24:00Z</cp:lastPrinted>
  <dcterms:created xsi:type="dcterms:W3CDTF">2024-01-30T15:19:00Z</dcterms:created>
  <dcterms:modified xsi:type="dcterms:W3CDTF">2024-01-30T15:20:00Z</dcterms:modified>
</cp:coreProperties>
</file>